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F38DE5" w14:textId="77777777" w:rsidR="00290B98" w:rsidRDefault="00CF5C43">
      <w:pPr>
        <w:spacing w:line="640" w:lineRule="exact"/>
        <w:jc w:val="center"/>
        <w:rPr>
          <w:rFonts w:ascii="黑体" w:eastAsia="黑体" w:hAnsi="黑体" w:cs="黑体"/>
          <w:sz w:val="44"/>
          <w:szCs w:val="44"/>
        </w:rPr>
      </w:pPr>
      <w:r>
        <w:rPr>
          <w:rFonts w:ascii="黑体" w:eastAsia="黑体" w:hAnsi="黑体" w:cs="黑体" w:hint="eastAsia"/>
          <w:sz w:val="44"/>
          <w:szCs w:val="44"/>
        </w:rPr>
        <w:t>西华大学2025年度部门（学院）行政办公家具采购项目需求文件</w:t>
      </w:r>
    </w:p>
    <w:p w14:paraId="77972F94" w14:textId="77777777" w:rsidR="00290B98" w:rsidRDefault="00290B98">
      <w:pPr>
        <w:pStyle w:val="022"/>
        <w:spacing w:line="400" w:lineRule="exact"/>
        <w:ind w:firstLine="560"/>
        <w:rPr>
          <w:rFonts w:ascii="仿宋" w:eastAsia="仿宋" w:hAnsi="仿宋" w:cs="仿宋"/>
          <w:color w:val="000000"/>
          <w:sz w:val="28"/>
          <w:szCs w:val="28"/>
        </w:rPr>
      </w:pPr>
    </w:p>
    <w:p w14:paraId="7E09331B" w14:textId="77777777" w:rsidR="00290B98" w:rsidRDefault="00CF5C43">
      <w:pPr>
        <w:pStyle w:val="022"/>
        <w:numPr>
          <w:ilvl w:val="0"/>
          <w:numId w:val="1"/>
        </w:numPr>
        <w:spacing w:line="400" w:lineRule="exact"/>
        <w:ind w:firstLineChars="0" w:firstLine="0"/>
        <w:rPr>
          <w:rFonts w:ascii="仿宋" w:eastAsia="仿宋" w:hAnsi="仿宋" w:cs="仿宋"/>
          <w:b/>
          <w:bCs/>
          <w:color w:val="000000"/>
          <w:sz w:val="28"/>
          <w:szCs w:val="28"/>
        </w:rPr>
      </w:pPr>
      <w:r>
        <w:rPr>
          <w:rFonts w:ascii="仿宋" w:eastAsia="仿宋" w:hAnsi="仿宋" w:cs="仿宋" w:hint="eastAsia"/>
          <w:b/>
          <w:bCs/>
          <w:color w:val="000000"/>
          <w:sz w:val="28"/>
          <w:szCs w:val="28"/>
        </w:rPr>
        <w:t>项目概述</w:t>
      </w:r>
    </w:p>
    <w:p w14:paraId="41FA8AC5" w14:textId="77777777" w:rsidR="00290B98" w:rsidRDefault="00290B98">
      <w:pPr>
        <w:pStyle w:val="022"/>
        <w:spacing w:line="400" w:lineRule="exact"/>
        <w:ind w:firstLineChars="0" w:firstLine="0"/>
        <w:rPr>
          <w:rFonts w:ascii="仿宋" w:eastAsia="仿宋" w:hAnsi="仿宋" w:cs="仿宋"/>
          <w:b/>
          <w:bCs/>
          <w:color w:val="000000"/>
          <w:sz w:val="28"/>
          <w:szCs w:val="28"/>
        </w:rPr>
      </w:pPr>
    </w:p>
    <w:p w14:paraId="43AA7A10"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2025年度西华大学部门（学院）行政办公家具采购</w:t>
      </w:r>
    </w:p>
    <w:p w14:paraId="7E199120" w14:textId="77777777" w:rsidR="00290B98" w:rsidRDefault="00290B98">
      <w:pPr>
        <w:spacing w:line="360" w:lineRule="auto"/>
        <w:rPr>
          <w:rFonts w:ascii="黑体" w:eastAsia="黑体" w:hAnsi="黑体" w:cs="黑体"/>
          <w:sz w:val="28"/>
          <w:szCs w:val="28"/>
        </w:rPr>
      </w:pPr>
    </w:p>
    <w:p w14:paraId="35E1663F" w14:textId="77777777" w:rsidR="00290B98" w:rsidRDefault="00CF5C43">
      <w:pPr>
        <w:spacing w:line="360" w:lineRule="auto"/>
        <w:rPr>
          <w:rFonts w:ascii="黑体" w:eastAsia="黑体" w:hAnsi="黑体" w:cs="黑体"/>
          <w:sz w:val="28"/>
          <w:szCs w:val="28"/>
        </w:rPr>
      </w:pPr>
      <w:r>
        <w:rPr>
          <w:rFonts w:ascii="黑体" w:eastAsia="黑体" w:hAnsi="黑体" w:cs="黑体" w:hint="eastAsia"/>
          <w:sz w:val="28"/>
          <w:szCs w:val="28"/>
        </w:rPr>
        <w:t>二、投标人应具备的资格条件</w:t>
      </w:r>
    </w:p>
    <w:p w14:paraId="231C4ED6" w14:textId="77777777" w:rsidR="00290B98" w:rsidRDefault="00CF5C43">
      <w:pPr>
        <w:tabs>
          <w:tab w:val="left" w:pos="1080"/>
        </w:tabs>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（一）具备《中华人民共和国政府采购法》第二十二条规定的条件：</w:t>
      </w:r>
    </w:p>
    <w:p w14:paraId="10093A51"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1.具有独立承担民事责任的能力；</w:t>
      </w:r>
    </w:p>
    <w:p w14:paraId="4D0EEF58"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2.具有良好的商业信誉和健全的财务会计制度；</w:t>
      </w:r>
    </w:p>
    <w:p w14:paraId="5100EC78"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3.具有履行合同所必需的设备和专业技术能力；</w:t>
      </w:r>
    </w:p>
    <w:p w14:paraId="2B7C87D8"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4.具有依法缴纳税收和社会保障资金的良好记录；</w:t>
      </w:r>
    </w:p>
    <w:p w14:paraId="6374318C"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5.参加本次政府采购活动前三年内，在经营活动中没有重大违法记录；</w:t>
      </w:r>
    </w:p>
    <w:p w14:paraId="7B9DBE05"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6.法律、行政法规规定的其他条件。</w:t>
      </w:r>
    </w:p>
    <w:p w14:paraId="6D8FB0D0" w14:textId="77777777" w:rsidR="00290B98" w:rsidRDefault="00CF5C43">
      <w:pPr>
        <w:tabs>
          <w:tab w:val="left" w:pos="1080"/>
        </w:tabs>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（二）本项目的特定资格要求：</w:t>
      </w:r>
    </w:p>
    <w:p w14:paraId="3C7F0417"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 xml:space="preserve">1.未被列入失信被执行人、重大税收违法案件当事人名单、政府采购严重违法失信行为记录名单； </w:t>
      </w:r>
    </w:p>
    <w:p w14:paraId="6FCCA8D0"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 xml:space="preserve">2.不属于其他国家相关法律法规规定的禁止参加投标的供应商； </w:t>
      </w:r>
    </w:p>
    <w:p w14:paraId="19753830" w14:textId="77777777" w:rsidR="00290B98" w:rsidRDefault="00CF5C43">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3.本项目不接受联合体投标。</w:t>
      </w:r>
    </w:p>
    <w:p w14:paraId="40F95065" w14:textId="77777777" w:rsidR="00290B98" w:rsidRDefault="00CF5C43">
      <w:pPr>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（三）落实政府采购政策需满足的资格要求：</w:t>
      </w:r>
    </w:p>
    <w:p w14:paraId="378E0D0E" w14:textId="77777777" w:rsidR="00290B98" w:rsidRDefault="00CF5C43">
      <w:pPr>
        <w:pStyle w:val="a4"/>
      </w:pPr>
      <w:r>
        <w:rPr>
          <w:rFonts w:ascii="仿宋" w:eastAsia="仿宋" w:hAnsi="仿宋" w:cs="仿宋" w:hint="eastAsia"/>
          <w:color w:val="000000"/>
          <w:sz w:val="28"/>
          <w:szCs w:val="28"/>
        </w:rPr>
        <w:t>本项目专门面向中小企业。</w:t>
      </w:r>
    </w:p>
    <w:p w14:paraId="5F97AE2C" w14:textId="77777777" w:rsidR="00290B98" w:rsidRDefault="00CF5C43">
      <w:pPr>
        <w:spacing w:line="360" w:lineRule="auto"/>
        <w:rPr>
          <w:rFonts w:ascii="黑体" w:eastAsia="黑体" w:hAnsi="黑体" w:cs="黑体"/>
          <w:sz w:val="28"/>
          <w:szCs w:val="28"/>
        </w:rPr>
      </w:pPr>
      <w:r>
        <w:rPr>
          <w:rFonts w:ascii="黑体" w:eastAsia="黑体" w:hAnsi="黑体" w:cs="黑体" w:hint="eastAsia"/>
          <w:sz w:val="28"/>
          <w:szCs w:val="28"/>
        </w:rPr>
        <w:t>三、采购内容及要求</w:t>
      </w:r>
    </w:p>
    <w:p w14:paraId="5901B0E3" w14:textId="77777777" w:rsidR="00290B98" w:rsidRDefault="00CF5C43">
      <w:pPr>
        <w:tabs>
          <w:tab w:val="left" w:pos="1080"/>
        </w:tabs>
        <w:spacing w:line="400" w:lineRule="exact"/>
        <w:rPr>
          <w:rFonts w:ascii="仿宋" w:eastAsia="仿宋" w:hAnsi="仿宋" w:cs="仿宋"/>
          <w:color w:val="000000"/>
          <w:sz w:val="28"/>
          <w:szCs w:val="28"/>
        </w:rPr>
      </w:pPr>
      <w:r>
        <w:rPr>
          <w:rFonts w:ascii="仿宋" w:eastAsia="仿宋" w:hAnsi="仿宋" w:cs="仿宋" w:hint="eastAsia"/>
          <w:color w:val="000000"/>
          <w:sz w:val="28"/>
          <w:szCs w:val="28"/>
        </w:rPr>
        <w:t>1.采购清单及技术参数要求</w:t>
      </w:r>
    </w:p>
    <w:p w14:paraId="30EBEBAD" w14:textId="77777777" w:rsidR="00290B98" w:rsidRDefault="00290B98">
      <w:pPr>
        <w:tabs>
          <w:tab w:val="left" w:pos="1080"/>
        </w:tabs>
        <w:spacing w:line="400" w:lineRule="exact"/>
        <w:rPr>
          <w:rFonts w:ascii="仿宋" w:eastAsia="仿宋" w:hAnsi="仿宋" w:cs="仿宋"/>
          <w:color w:val="000000"/>
          <w:sz w:val="28"/>
          <w:szCs w:val="28"/>
        </w:rPr>
        <w:sectPr w:rsidR="00290B98">
          <w:pgSz w:w="11906" w:h="16838"/>
          <w:pgMar w:top="1440" w:right="1800" w:bottom="1440" w:left="1800" w:header="851" w:footer="992" w:gutter="0"/>
          <w:cols w:space="425"/>
          <w:docGrid w:type="lines" w:linePitch="312"/>
        </w:sectPr>
      </w:pPr>
    </w:p>
    <w:tbl>
      <w:tblPr>
        <w:tblW w:w="14111" w:type="dxa"/>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1065"/>
        <w:gridCol w:w="1710"/>
        <w:gridCol w:w="735"/>
        <w:gridCol w:w="600"/>
        <w:gridCol w:w="7413"/>
        <w:gridCol w:w="1932"/>
      </w:tblGrid>
      <w:tr w:rsidR="00290B98" w14:paraId="722B7B1F" w14:textId="77777777" w:rsidTr="00A7341B">
        <w:trPr>
          <w:trHeight w:val="480"/>
        </w:trPr>
        <w:tc>
          <w:tcPr>
            <w:tcW w:w="656" w:type="dxa"/>
            <w:shd w:val="clear" w:color="auto" w:fill="auto"/>
            <w:vAlign w:val="center"/>
          </w:tcPr>
          <w:p w14:paraId="65BD254F"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lastRenderedPageBreak/>
              <w:t>序号</w:t>
            </w:r>
          </w:p>
        </w:tc>
        <w:tc>
          <w:tcPr>
            <w:tcW w:w="1065" w:type="dxa"/>
            <w:shd w:val="clear" w:color="auto" w:fill="auto"/>
            <w:vAlign w:val="center"/>
          </w:tcPr>
          <w:p w14:paraId="244D4342"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产品名称</w:t>
            </w:r>
          </w:p>
        </w:tc>
        <w:tc>
          <w:tcPr>
            <w:tcW w:w="1710" w:type="dxa"/>
            <w:shd w:val="clear" w:color="auto" w:fill="auto"/>
            <w:vAlign w:val="center"/>
          </w:tcPr>
          <w:p w14:paraId="431A029C"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规格型号</w:t>
            </w:r>
          </w:p>
          <w:p w14:paraId="57E2E706"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（±5mm）★</w:t>
            </w:r>
          </w:p>
        </w:tc>
        <w:tc>
          <w:tcPr>
            <w:tcW w:w="735" w:type="dxa"/>
            <w:shd w:val="clear" w:color="auto" w:fill="auto"/>
            <w:vAlign w:val="center"/>
          </w:tcPr>
          <w:p w14:paraId="36C5AE8B"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数量</w:t>
            </w:r>
          </w:p>
        </w:tc>
        <w:tc>
          <w:tcPr>
            <w:tcW w:w="600" w:type="dxa"/>
            <w:shd w:val="clear" w:color="auto" w:fill="auto"/>
            <w:noWrap/>
            <w:vAlign w:val="center"/>
          </w:tcPr>
          <w:p w14:paraId="58C5CA69"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单位</w:t>
            </w:r>
          </w:p>
        </w:tc>
        <w:tc>
          <w:tcPr>
            <w:tcW w:w="7413" w:type="dxa"/>
            <w:shd w:val="clear" w:color="auto" w:fill="auto"/>
            <w:vAlign w:val="center"/>
          </w:tcPr>
          <w:p w14:paraId="36F2F5A9"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技术参数与性能指标</w:t>
            </w:r>
          </w:p>
        </w:tc>
        <w:tc>
          <w:tcPr>
            <w:tcW w:w="1932" w:type="dxa"/>
            <w:shd w:val="clear" w:color="auto" w:fill="auto"/>
            <w:vAlign w:val="center"/>
          </w:tcPr>
          <w:p w14:paraId="21C7343B" w14:textId="77777777" w:rsidR="00290B98" w:rsidRDefault="00CF5C43">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参考图片</w:t>
            </w:r>
          </w:p>
        </w:tc>
      </w:tr>
      <w:tr w:rsidR="00290B98" w14:paraId="472A5DC1" w14:textId="77777777" w:rsidTr="00A7341B">
        <w:trPr>
          <w:trHeight w:val="2800"/>
        </w:trPr>
        <w:tc>
          <w:tcPr>
            <w:tcW w:w="656" w:type="dxa"/>
            <w:shd w:val="clear" w:color="auto" w:fill="auto"/>
            <w:vAlign w:val="center"/>
          </w:tcPr>
          <w:p w14:paraId="091F3D3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p>
        </w:tc>
        <w:tc>
          <w:tcPr>
            <w:tcW w:w="1065" w:type="dxa"/>
            <w:shd w:val="clear" w:color="auto" w:fill="auto"/>
            <w:vAlign w:val="center"/>
          </w:tcPr>
          <w:p w14:paraId="0E7D131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班台1</w:t>
            </w:r>
          </w:p>
        </w:tc>
        <w:tc>
          <w:tcPr>
            <w:tcW w:w="1710" w:type="dxa"/>
            <w:shd w:val="clear" w:color="auto" w:fill="auto"/>
            <w:vAlign w:val="center"/>
          </w:tcPr>
          <w:p w14:paraId="6F515F12" w14:textId="77777777" w:rsidR="00290B98" w:rsidRDefault="00CF5C43">
            <w:pPr>
              <w:widowControl/>
              <w:rPr>
                <w:rFonts w:ascii="宋体" w:eastAsia="宋体" w:hAnsi="宋体" w:cs="宋体"/>
                <w:color w:val="000000"/>
                <w:kern w:val="0"/>
                <w:sz w:val="20"/>
                <w:szCs w:val="20"/>
              </w:rPr>
            </w:pPr>
            <w:r>
              <w:rPr>
                <w:rFonts w:ascii="宋体" w:eastAsia="宋体" w:hAnsi="宋体" w:cs="宋体" w:hint="eastAsia"/>
                <w:color w:val="000000"/>
                <w:kern w:val="0"/>
                <w:sz w:val="20"/>
                <w:szCs w:val="20"/>
              </w:rPr>
              <w:t>1800*900*760mm</w:t>
            </w:r>
          </w:p>
        </w:tc>
        <w:tc>
          <w:tcPr>
            <w:tcW w:w="735" w:type="dxa"/>
            <w:shd w:val="clear" w:color="auto" w:fill="auto"/>
            <w:vAlign w:val="center"/>
          </w:tcPr>
          <w:p w14:paraId="1FB924F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600" w:type="dxa"/>
            <w:shd w:val="clear" w:color="auto" w:fill="auto"/>
            <w:vAlign w:val="center"/>
          </w:tcPr>
          <w:p w14:paraId="1CCBA8B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4C153D6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1、表面采用木皮贴面，经久耐用，不开裂，采用机械化贴面，表面平整耐久，厚度≥0.8mm，含水率7-9%，甲醛释放量≤0.025mg/m³。</w:t>
            </w:r>
          </w:p>
          <w:p w14:paraId="65E1F4C8" w14:textId="7F937F91" w:rsidR="00290B98" w:rsidRPr="00344EF7"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▲2、胶水：采用粘胶剂或MDI胶。胶水中水基型胶粘剂VOC含量限量、游离甲醛、苯、甲苯、二甲苯均未检出。</w:t>
            </w:r>
            <w:r w:rsidRPr="00344EF7">
              <w:rPr>
                <w:rFonts w:ascii="宋体" w:eastAsia="宋体" w:hAnsi="宋体" w:cs="宋体" w:hint="eastAsia"/>
                <w:color w:val="000000"/>
                <w:kern w:val="0"/>
                <w:sz w:val="20"/>
                <w:szCs w:val="20"/>
              </w:rPr>
              <w:t>（</w:t>
            </w:r>
            <w:r w:rsidR="005331BB" w:rsidRPr="00344EF7">
              <w:rPr>
                <w:rFonts w:ascii="宋体" w:eastAsia="宋体" w:hAnsi="宋体" w:cs="宋体" w:hint="eastAsia"/>
                <w:color w:val="000000"/>
                <w:kern w:val="0"/>
                <w:sz w:val="20"/>
                <w:szCs w:val="20"/>
              </w:rPr>
              <w:t>交货时需</w:t>
            </w:r>
            <w:r w:rsidRPr="00344EF7">
              <w:rPr>
                <w:rFonts w:ascii="宋体" w:eastAsia="宋体" w:hAnsi="宋体" w:cs="宋体" w:hint="eastAsia"/>
                <w:color w:val="000000"/>
                <w:kern w:val="0"/>
                <w:sz w:val="20"/>
                <w:szCs w:val="20"/>
              </w:rPr>
              <w:t>提供满足本条技术参数要求且带CMA标识的检验检测报告扫描件佐证并加盖投标人公章）</w:t>
            </w:r>
          </w:p>
          <w:p w14:paraId="28787E5D" w14:textId="4DC9C103" w:rsidR="00290B98" w:rsidRDefault="00CF5C43">
            <w:pPr>
              <w:widowControl/>
              <w:jc w:val="left"/>
              <w:rPr>
                <w:rFonts w:ascii="宋体" w:eastAsia="宋体" w:hAnsi="宋体" w:cs="宋体"/>
                <w:color w:val="000000"/>
                <w:kern w:val="0"/>
                <w:sz w:val="20"/>
                <w:szCs w:val="20"/>
              </w:rPr>
            </w:pPr>
            <w:r w:rsidRPr="00344EF7">
              <w:rPr>
                <w:rFonts w:ascii="宋体" w:eastAsia="宋体" w:hAnsi="宋体" w:cs="宋体" w:hint="eastAsia"/>
                <w:color w:val="000000"/>
                <w:kern w:val="0"/>
                <w:sz w:val="20"/>
                <w:szCs w:val="20"/>
              </w:rPr>
              <w:t>▲3、基材：采用厚度≥18mm中密度纤维板，甲醛释放量≤0.05mg/m³；板材不准许出现分层、鼓泡。板材的含水率、密度、吸水厚度膨胀率、握螺钉力（板边、板面）、静曲强度、弹性模量、表面胶合强度均检测合格，板材的燃烧性能B1(B)级以及防潮性能均检测合格。（</w:t>
            </w:r>
            <w:r w:rsidR="005331BB" w:rsidRPr="00344EF7">
              <w:rPr>
                <w:rFonts w:ascii="宋体" w:eastAsia="宋体" w:hAnsi="宋体" w:cs="宋体" w:hint="eastAsia"/>
                <w:color w:val="000000"/>
                <w:kern w:val="0"/>
                <w:sz w:val="20"/>
                <w:szCs w:val="20"/>
              </w:rPr>
              <w:t>交货时需</w:t>
            </w:r>
            <w:r w:rsidRPr="00344EF7">
              <w:rPr>
                <w:rFonts w:ascii="宋体" w:eastAsia="宋体" w:hAnsi="宋体" w:cs="宋体" w:hint="eastAsia"/>
                <w:color w:val="000000"/>
                <w:kern w:val="0"/>
                <w:sz w:val="20"/>
                <w:szCs w:val="20"/>
              </w:rPr>
              <w:t>提供满足本条技术参数要求且带CMA标识的检验检测报告扫描件佐证并加盖投标人公章）</w:t>
            </w:r>
            <w:r>
              <w:rPr>
                <w:rFonts w:ascii="宋体" w:eastAsia="宋体" w:hAnsi="宋体" w:cs="宋体" w:hint="eastAsia"/>
                <w:color w:val="000000"/>
                <w:kern w:val="0"/>
                <w:sz w:val="20"/>
                <w:szCs w:val="20"/>
              </w:rPr>
              <w:t xml:space="preserve">  </w:t>
            </w:r>
          </w:p>
          <w:p w14:paraId="31948A3B"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4、滑轨：耐久性≥8万次检测合格，功能操作力检测合格，水平静载荷检测合格，下沉量检测合格，垂直向下静载荷检测合格，中性盐雾试验(NSS)连续喷雾≥100h，镀（涂）层对基体保护等级≥9级，镀（涂）层本身耐腐蚀等级≥9级。 </w:t>
            </w:r>
          </w:p>
          <w:p w14:paraId="2A87C81C" w14:textId="4FFE64D5"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5、写字板：皮革，厚度1.0～2.0mm。皮革摩擦色牢度和耐光性均达到4—5级，皮的耐折牢度、耐磨性均达到合格，并符合GB/T 16799-2018《家具用皮革》的标准；皮革PH值3.5～9.0，气味≤3级，有害物质游离甲醛、可分解出致癌芳香胺染料、氯化苯和氯化甲苯、有机锡化合物均不含有，并符合HJ 507-2009《环境标志产品技术要求  皮革和合成革》的标准。                                                       ▲6、水性漆/净味油漆：漆的细度≤35μm，不挥发物≥30%。漆的漆膜外观、光泽度、附着力、抗粘连性、耐冻融性、耐划伤性、耐水性、耐碱性、耐醇性、耐污染性、耐黄变性以及硬度擦伤均检测合格。有害物质甲醛含量、总铅（Pb）含量、可溶性重金属（铬、汞、镉）、苯系物总和含量、可溶性有害元素含量均检测合格。（</w:t>
            </w:r>
            <w:r w:rsidR="005331BB" w:rsidRPr="005331BB">
              <w:rPr>
                <w:rFonts w:ascii="宋体" w:eastAsia="宋体" w:hAnsi="宋体" w:cs="宋体" w:hint="eastAsia"/>
                <w:color w:val="000000"/>
                <w:kern w:val="0"/>
                <w:sz w:val="20"/>
                <w:szCs w:val="20"/>
              </w:rPr>
              <w:t>交货时需</w:t>
            </w:r>
            <w:r w:rsidRPr="005331BB">
              <w:rPr>
                <w:rFonts w:ascii="宋体" w:eastAsia="宋体" w:hAnsi="宋体" w:cs="宋体" w:hint="eastAsia"/>
                <w:color w:val="000000"/>
                <w:kern w:val="0"/>
                <w:sz w:val="20"/>
                <w:szCs w:val="20"/>
              </w:rPr>
              <w:t>提</w:t>
            </w:r>
            <w:r>
              <w:rPr>
                <w:rFonts w:ascii="宋体" w:eastAsia="宋体" w:hAnsi="宋体" w:cs="宋体" w:hint="eastAsia"/>
                <w:color w:val="000000"/>
                <w:kern w:val="0"/>
                <w:sz w:val="20"/>
                <w:szCs w:val="20"/>
              </w:rPr>
              <w:t>供满足本条技术参数要求且带CMA标识的检验检测报告扫描件佐证并加盖投标人公章）                                                                                         7、采用三合一紧固件：耐腐蚀等级≥10级（乙酸盐雾试验≥280h），连接件尺寸符合要求（具有互换性），三合一偏心连接件的偏心体与连接螺杆锁紧角度</w:t>
            </w:r>
            <w:r>
              <w:rPr>
                <w:rFonts w:ascii="宋体" w:eastAsia="宋体" w:hAnsi="宋体" w:cs="宋体" w:hint="eastAsia"/>
                <w:color w:val="000000"/>
                <w:kern w:val="0"/>
                <w:sz w:val="20"/>
                <w:szCs w:val="20"/>
              </w:rPr>
              <w:lastRenderedPageBreak/>
              <w:t xml:space="preserve">150°～190°，金属件外观符合要求（表面应无锈蚀、毛刺刃口等缺陷），三合一偏心连接件预埋螺母抗拉强度≥600N,三合一偏心连接件中连接螺杆螺纹与预埋螺母的抗拉强度≥900N。 </w:t>
            </w:r>
          </w:p>
          <w:p w14:paraId="3614A95F"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8、外观工艺：经先进油漆工艺“三底两面”处理，色泽柔和持久，光滑耐磨，手感好；木皮纹理清晰，无发白，流挂及明显划伤，色泽均匀,漆膜硬度达到3H。配置：台面总厚度≥60mm，其它厚度≥16mm，副台左右可安装使用。产品符合GB/T3324-2024标准。</w:t>
            </w:r>
          </w:p>
        </w:tc>
        <w:tc>
          <w:tcPr>
            <w:tcW w:w="1932" w:type="dxa"/>
            <w:shd w:val="clear" w:color="auto" w:fill="auto"/>
            <w:vAlign w:val="center"/>
          </w:tcPr>
          <w:p w14:paraId="51B27B2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37374971" wp14:editId="5F094FE9">
                  <wp:extent cx="1089660" cy="817245"/>
                  <wp:effectExtent l="0" t="0" r="0" b="1905"/>
                  <wp:docPr id="11379728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72847" name="图片 2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089660" cy="817245"/>
                          </a:xfrm>
                          <a:prstGeom prst="rect">
                            <a:avLst/>
                          </a:prstGeom>
                          <a:noFill/>
                          <a:ln>
                            <a:noFill/>
                          </a:ln>
                        </pic:spPr>
                      </pic:pic>
                    </a:graphicData>
                  </a:graphic>
                </wp:inline>
              </w:drawing>
            </w:r>
          </w:p>
        </w:tc>
      </w:tr>
      <w:tr w:rsidR="00290B98" w14:paraId="7A4C9A31" w14:textId="77777777" w:rsidTr="00A7341B">
        <w:trPr>
          <w:trHeight w:val="610"/>
        </w:trPr>
        <w:tc>
          <w:tcPr>
            <w:tcW w:w="656" w:type="dxa"/>
            <w:shd w:val="clear" w:color="auto" w:fill="auto"/>
            <w:vAlign w:val="center"/>
          </w:tcPr>
          <w:p w14:paraId="3F5B9AD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1065" w:type="dxa"/>
            <w:shd w:val="clear" w:color="auto" w:fill="auto"/>
            <w:vAlign w:val="center"/>
          </w:tcPr>
          <w:p w14:paraId="385103C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班台2</w:t>
            </w:r>
          </w:p>
        </w:tc>
        <w:tc>
          <w:tcPr>
            <w:tcW w:w="1710" w:type="dxa"/>
            <w:shd w:val="clear" w:color="auto" w:fill="auto"/>
            <w:vAlign w:val="center"/>
          </w:tcPr>
          <w:p w14:paraId="1709B31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1600*800*760mm</w:t>
            </w:r>
          </w:p>
        </w:tc>
        <w:tc>
          <w:tcPr>
            <w:tcW w:w="735" w:type="dxa"/>
            <w:shd w:val="clear" w:color="auto" w:fill="auto"/>
            <w:vAlign w:val="center"/>
          </w:tcPr>
          <w:p w14:paraId="6A27769A" w14:textId="1626D92E" w:rsidR="00290B98" w:rsidRDefault="007C521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18</w:t>
            </w:r>
          </w:p>
        </w:tc>
        <w:tc>
          <w:tcPr>
            <w:tcW w:w="600" w:type="dxa"/>
            <w:shd w:val="clear" w:color="auto" w:fill="auto"/>
            <w:vAlign w:val="center"/>
          </w:tcPr>
          <w:p w14:paraId="06FDF39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ign w:val="center"/>
          </w:tcPr>
          <w:p w14:paraId="57760B05" w14:textId="77777777" w:rsidR="00290B98" w:rsidRDefault="00290B98">
            <w:pPr>
              <w:widowControl/>
              <w:jc w:val="left"/>
              <w:rPr>
                <w:rFonts w:ascii="宋体" w:eastAsia="宋体" w:hAnsi="宋体" w:cs="宋体"/>
                <w:color w:val="000000"/>
                <w:kern w:val="0"/>
                <w:sz w:val="20"/>
                <w:szCs w:val="20"/>
              </w:rPr>
            </w:pPr>
          </w:p>
        </w:tc>
        <w:tc>
          <w:tcPr>
            <w:tcW w:w="1932" w:type="dxa"/>
            <w:shd w:val="clear" w:color="auto" w:fill="auto"/>
            <w:vAlign w:val="center"/>
          </w:tcPr>
          <w:p w14:paraId="669196A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034B9203" wp14:editId="052D33F1">
                  <wp:extent cx="1089660" cy="904875"/>
                  <wp:effectExtent l="0" t="0" r="0" b="9525"/>
                  <wp:docPr id="19318392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39259" name="图片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089660" cy="904875"/>
                          </a:xfrm>
                          <a:prstGeom prst="rect">
                            <a:avLst/>
                          </a:prstGeom>
                          <a:noFill/>
                          <a:ln>
                            <a:noFill/>
                          </a:ln>
                        </pic:spPr>
                      </pic:pic>
                    </a:graphicData>
                  </a:graphic>
                </wp:inline>
              </w:drawing>
            </w:r>
          </w:p>
        </w:tc>
      </w:tr>
      <w:tr w:rsidR="00290B98" w14:paraId="7834AB04" w14:textId="77777777" w:rsidTr="00A7341B">
        <w:trPr>
          <w:trHeight w:val="2460"/>
        </w:trPr>
        <w:tc>
          <w:tcPr>
            <w:tcW w:w="656" w:type="dxa"/>
            <w:shd w:val="clear" w:color="auto" w:fill="auto"/>
            <w:vAlign w:val="center"/>
          </w:tcPr>
          <w:p w14:paraId="67C445B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w:t>
            </w:r>
          </w:p>
        </w:tc>
        <w:tc>
          <w:tcPr>
            <w:tcW w:w="1065" w:type="dxa"/>
            <w:shd w:val="clear" w:color="auto" w:fill="auto"/>
            <w:vAlign w:val="center"/>
          </w:tcPr>
          <w:p w14:paraId="6FB4018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办公桌1</w:t>
            </w:r>
          </w:p>
        </w:tc>
        <w:tc>
          <w:tcPr>
            <w:tcW w:w="1710" w:type="dxa"/>
            <w:shd w:val="clear" w:color="auto" w:fill="auto"/>
            <w:vAlign w:val="center"/>
          </w:tcPr>
          <w:p w14:paraId="67AC90A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1400*700*760mm</w:t>
            </w:r>
          </w:p>
        </w:tc>
        <w:tc>
          <w:tcPr>
            <w:tcW w:w="735" w:type="dxa"/>
            <w:shd w:val="clear" w:color="auto" w:fill="auto"/>
            <w:vAlign w:val="center"/>
          </w:tcPr>
          <w:p w14:paraId="62356DF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19</w:t>
            </w:r>
          </w:p>
        </w:tc>
        <w:tc>
          <w:tcPr>
            <w:tcW w:w="600" w:type="dxa"/>
            <w:shd w:val="clear" w:color="auto" w:fill="auto"/>
            <w:vAlign w:val="center"/>
          </w:tcPr>
          <w:p w14:paraId="36C98CA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6D24D0C8" w14:textId="3FCBEF89"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1、贴面采用胡桃木皮：含水率8~16%，甲醛释放量≤0.1mg/L，厚度不低于0.8mm。                                                        2、基材：中密度纤维板，桌面/立板/抽面厚度≥16mm，甲醛释放量≤0.05mg/m³；板材不分层、不鼓泡，板材的密度、吸水厚度膨胀率、握螺钉力、静曲强度、表面胶合强度均达到合格，并符合GB/T11718-2021《中密度纤维板》的标准。                                                                                            ▲3、桌面写字板面材皮革：游离甲醛未检出；可萃取的重金属（六价铬、汞、铅）、可分解出致癌芳香胺染料、氯化苯和氯化甲苯、有机锡化合物未检出；PH、撕裂力、耐光性、耐折牢度、挥发性有机物、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386A6FC2"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水性面漆：甲醛含量未检出；总铅（pb）含量未检出；在容器中状态：搅拌后均匀无硬块；细度（色漆）检测合格；不挥发物检测合格；干燥时间（表干、实干）检测合格；耐沸水性检测合格；可溶性镉、可溶性铬、可溶性汞均未检出；乙二醇醚及醚酯总和含量未检出；烷基酚聚氧乙烯醚总和含量未检出。</w:t>
            </w:r>
          </w:p>
          <w:p w14:paraId="664E3CEA" w14:textId="0DB136C9"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▲5、铝合金线盒：金属件涂层无锈蚀、脱色、掉色、光滑均匀、无流挂；中性盐雾试验、铜加速乙酸盐雾试验以及乙酸盐雾试验耐腐蚀等级均≥9级；可迁移元素符合HJ 2547-2016《环境标志产品技术要求 家具》的标准。（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6283DC3C" w14:textId="628F729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▲6、静音滑轨：下沉量检测合格；耐久性不少于 8 万次无损；垂直向下静载荷（过载）检测合格；水平侧向静载荷（过载）检测合格；猛关或猛开（过载）检测合格；抽屉导轨组件结构强度检测合格；拉出安全性检测合格；经不少于 120h </w:t>
            </w:r>
            <w:r>
              <w:rPr>
                <w:rFonts w:ascii="宋体" w:eastAsia="宋体" w:hAnsi="宋体" w:cs="宋体" w:hint="eastAsia"/>
                <w:color w:val="000000"/>
                <w:kern w:val="0"/>
                <w:sz w:val="20"/>
                <w:szCs w:val="20"/>
              </w:rPr>
              <w:lastRenderedPageBreak/>
              <w:t>乙酸盐雾试验后耐腐蚀等级≥9级；经不少于 72h铜加速乙酸盐雾试验后保护评级≥9级。规格：18-20寸滑轨。（</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77A4D3F8" w14:textId="342C0630"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7、台面厚度≥60mm，其它板材厚度≥18mm。                                                                 ▲8、成品质量要求：办公桌金属件经乙酸盐雾试验后，耐腐蚀等级≥9级，其保护评级（Rp）≥9级，甲醛释放量≤0.05mg/m³。（</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tc>
        <w:tc>
          <w:tcPr>
            <w:tcW w:w="1932" w:type="dxa"/>
            <w:shd w:val="clear" w:color="auto" w:fill="auto"/>
            <w:vAlign w:val="center"/>
          </w:tcPr>
          <w:p w14:paraId="0964B9B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322E5688" wp14:editId="36BA6FCC">
                  <wp:extent cx="1089660" cy="749300"/>
                  <wp:effectExtent l="0" t="0" r="0" b="0"/>
                  <wp:docPr id="14774523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52315" name="图片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089660" cy="749300"/>
                          </a:xfrm>
                          <a:prstGeom prst="rect">
                            <a:avLst/>
                          </a:prstGeom>
                          <a:noFill/>
                          <a:ln>
                            <a:noFill/>
                          </a:ln>
                        </pic:spPr>
                      </pic:pic>
                    </a:graphicData>
                  </a:graphic>
                </wp:inline>
              </w:drawing>
            </w:r>
          </w:p>
        </w:tc>
      </w:tr>
      <w:tr w:rsidR="00290B98" w14:paraId="5A968D57" w14:textId="77777777" w:rsidTr="00A7341B">
        <w:trPr>
          <w:trHeight w:val="1527"/>
        </w:trPr>
        <w:tc>
          <w:tcPr>
            <w:tcW w:w="656" w:type="dxa"/>
            <w:shd w:val="clear" w:color="auto" w:fill="auto"/>
            <w:vAlign w:val="center"/>
          </w:tcPr>
          <w:p w14:paraId="1791B1F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1065" w:type="dxa"/>
            <w:shd w:val="clear" w:color="auto" w:fill="auto"/>
            <w:vAlign w:val="center"/>
          </w:tcPr>
          <w:p w14:paraId="4B66025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办公桌2</w:t>
            </w:r>
          </w:p>
        </w:tc>
        <w:tc>
          <w:tcPr>
            <w:tcW w:w="1710" w:type="dxa"/>
            <w:shd w:val="clear" w:color="auto" w:fill="auto"/>
            <w:vAlign w:val="center"/>
          </w:tcPr>
          <w:p w14:paraId="2375804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1600*800*760mm</w:t>
            </w:r>
          </w:p>
        </w:tc>
        <w:tc>
          <w:tcPr>
            <w:tcW w:w="735" w:type="dxa"/>
            <w:shd w:val="clear" w:color="auto" w:fill="auto"/>
            <w:vAlign w:val="center"/>
          </w:tcPr>
          <w:p w14:paraId="6DC6089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6145686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ign w:val="center"/>
          </w:tcPr>
          <w:p w14:paraId="3EC3B49A" w14:textId="77777777" w:rsidR="00290B98" w:rsidRDefault="00290B98">
            <w:pPr>
              <w:widowControl/>
              <w:jc w:val="left"/>
              <w:rPr>
                <w:rFonts w:ascii="宋体" w:eastAsia="宋体" w:hAnsi="宋体" w:cs="宋体"/>
                <w:color w:val="000000"/>
                <w:kern w:val="0"/>
                <w:sz w:val="20"/>
                <w:szCs w:val="20"/>
              </w:rPr>
            </w:pPr>
          </w:p>
        </w:tc>
        <w:tc>
          <w:tcPr>
            <w:tcW w:w="1932" w:type="dxa"/>
            <w:shd w:val="clear" w:color="auto" w:fill="auto"/>
            <w:vAlign w:val="center"/>
          </w:tcPr>
          <w:p w14:paraId="74F448B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95FABE2" wp14:editId="5651B2E6">
                  <wp:extent cx="1089660" cy="690880"/>
                  <wp:effectExtent l="0" t="0" r="0" b="0"/>
                  <wp:docPr id="13125621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62114" name="图片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089660" cy="690880"/>
                          </a:xfrm>
                          <a:prstGeom prst="rect">
                            <a:avLst/>
                          </a:prstGeom>
                          <a:noFill/>
                          <a:ln>
                            <a:noFill/>
                          </a:ln>
                        </pic:spPr>
                      </pic:pic>
                    </a:graphicData>
                  </a:graphic>
                </wp:inline>
              </w:drawing>
            </w:r>
          </w:p>
        </w:tc>
      </w:tr>
      <w:tr w:rsidR="00290B98" w14:paraId="12B89E15" w14:textId="77777777" w:rsidTr="00A7341B">
        <w:trPr>
          <w:trHeight w:val="3000"/>
        </w:trPr>
        <w:tc>
          <w:tcPr>
            <w:tcW w:w="656" w:type="dxa"/>
            <w:shd w:val="clear" w:color="auto" w:fill="auto"/>
            <w:vAlign w:val="center"/>
          </w:tcPr>
          <w:p w14:paraId="5CB91BF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w:t>
            </w:r>
          </w:p>
        </w:tc>
        <w:tc>
          <w:tcPr>
            <w:tcW w:w="1065" w:type="dxa"/>
            <w:shd w:val="clear" w:color="auto" w:fill="auto"/>
            <w:vAlign w:val="center"/>
          </w:tcPr>
          <w:p w14:paraId="4473D3D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屏风办公桌1</w:t>
            </w:r>
          </w:p>
        </w:tc>
        <w:tc>
          <w:tcPr>
            <w:tcW w:w="1710" w:type="dxa"/>
            <w:shd w:val="clear" w:color="auto" w:fill="auto"/>
            <w:vAlign w:val="center"/>
          </w:tcPr>
          <w:p w14:paraId="2A93910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1200*600*1200mm</w:t>
            </w:r>
          </w:p>
        </w:tc>
        <w:tc>
          <w:tcPr>
            <w:tcW w:w="735" w:type="dxa"/>
            <w:shd w:val="clear" w:color="auto" w:fill="auto"/>
            <w:vAlign w:val="center"/>
          </w:tcPr>
          <w:p w14:paraId="7A2FF89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10</w:t>
            </w:r>
          </w:p>
        </w:tc>
        <w:tc>
          <w:tcPr>
            <w:tcW w:w="600" w:type="dxa"/>
            <w:shd w:val="clear" w:color="auto" w:fill="auto"/>
            <w:vAlign w:val="center"/>
          </w:tcPr>
          <w:p w14:paraId="1D61598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vMerge w:val="restart"/>
            <w:shd w:val="clear" w:color="auto" w:fill="auto"/>
            <w:vAlign w:val="center"/>
          </w:tcPr>
          <w:p w14:paraId="3AB5712E"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面板基材：实木颗粒板：甲醛释放量≤0.05mg/m³；燃烧性能≥B1级（燃烧增长速率指数＜120W/s、600s的总放热量＜7.5MJ、60s内焰尖高度＜150mm）；抗菌性能均检测合格；胶合强度、苯、甲苯、二甲苯、TVOC、厚度偏差、含水率均检测合格；内胶合强度检测合格；≥48h吸水厚度膨胀率检测合格；板边握螺钉力、板面握螺钉力均检测合格。                                            </w:t>
            </w:r>
          </w:p>
          <w:p w14:paraId="5DC3CE52"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2、封边条：厚度≥1.5mm，封边条中不含有害物质甲醛和氯乙烯单体；有害物质限量：可迁移元素（可溶性重金属），领苯二甲酸脂的总量，多溴联苯，多溴联苯醚含量均符合或合格；封边条的理化性能：耐干热性、耐磨性、耐开裂性、耐老化性、耐冷热循环性、耐光色牢度均符合或合格。                </w:t>
            </w:r>
          </w:p>
          <w:p w14:paraId="3BCF0D1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3、屏风架：采用金属骨架，金属骨架涂层无锈蚀、脱色掉色，应光滑均匀，无飞漆现象；中性盐雾试验、铜加速乙酸盐雾试验以及乙酸盐雾试验耐腐蚀等级均≥9级，且符合GB/T 10125-2021《人造气氛腐蚀试验 盐雾试验》。</w:t>
            </w:r>
          </w:p>
          <w:p w14:paraId="1136C58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4、锁具：锁具符合QB/T 1621-2015《家具锁》的标准，锁的牢固度：锁头使用寿命不少于2万次，锁头固定连接200N静拉力后无松动，锁舌侧向200N静载荷能正常使用；锁具中性盐雾试验和铜加速乙酸盐雾试验均≥9级。 </w:t>
            </w:r>
          </w:p>
          <w:p w14:paraId="7D44F4D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5、配置：屏风厚度≥32mm。配置活动柜、PVC键盘架、主机架、屏风上部钢化玻璃。                                                                                       6、屏风工位成品质量要求：翘曲度、平整度、邻边垂直度、位差度、分缝、底脚平稳性均检测合格；木制件外观检测合格；金属件外观检测合格；稳定性检测合格；符合QB/T 4935-2016标准。</w:t>
            </w:r>
          </w:p>
        </w:tc>
        <w:tc>
          <w:tcPr>
            <w:tcW w:w="1932" w:type="dxa"/>
            <w:vMerge w:val="restart"/>
            <w:shd w:val="clear" w:color="auto" w:fill="auto"/>
            <w:vAlign w:val="center"/>
          </w:tcPr>
          <w:p w14:paraId="5972587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7490B6E" wp14:editId="684847AF">
                  <wp:extent cx="1089660" cy="846455"/>
                  <wp:effectExtent l="0" t="0" r="0" b="0"/>
                  <wp:docPr id="91061316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13161" name="图片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089660" cy="846455"/>
                          </a:xfrm>
                          <a:prstGeom prst="rect">
                            <a:avLst/>
                          </a:prstGeom>
                          <a:noFill/>
                          <a:ln>
                            <a:noFill/>
                          </a:ln>
                        </pic:spPr>
                      </pic:pic>
                    </a:graphicData>
                  </a:graphic>
                </wp:inline>
              </w:drawing>
            </w:r>
          </w:p>
        </w:tc>
      </w:tr>
      <w:tr w:rsidR="00290B98" w14:paraId="5C2B5F06" w14:textId="77777777" w:rsidTr="00A7341B">
        <w:trPr>
          <w:trHeight w:val="1260"/>
        </w:trPr>
        <w:tc>
          <w:tcPr>
            <w:tcW w:w="656" w:type="dxa"/>
            <w:shd w:val="clear" w:color="auto" w:fill="auto"/>
            <w:vAlign w:val="center"/>
          </w:tcPr>
          <w:p w14:paraId="4F953EB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w:t>
            </w:r>
          </w:p>
        </w:tc>
        <w:tc>
          <w:tcPr>
            <w:tcW w:w="1065" w:type="dxa"/>
            <w:shd w:val="clear" w:color="auto" w:fill="auto"/>
            <w:vAlign w:val="center"/>
          </w:tcPr>
          <w:p w14:paraId="2B94612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屏风办公桌2</w:t>
            </w:r>
          </w:p>
        </w:tc>
        <w:tc>
          <w:tcPr>
            <w:tcW w:w="1710" w:type="dxa"/>
            <w:shd w:val="clear" w:color="auto" w:fill="auto"/>
            <w:vAlign w:val="center"/>
          </w:tcPr>
          <w:p w14:paraId="765EF69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1400*700*1200mm</w:t>
            </w:r>
          </w:p>
        </w:tc>
        <w:tc>
          <w:tcPr>
            <w:tcW w:w="735" w:type="dxa"/>
            <w:shd w:val="clear" w:color="auto" w:fill="auto"/>
            <w:vAlign w:val="center"/>
          </w:tcPr>
          <w:p w14:paraId="3427FE1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7D4C7BF8"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vMerge/>
            <w:vAlign w:val="center"/>
          </w:tcPr>
          <w:p w14:paraId="7A3CC656" w14:textId="77777777" w:rsidR="00290B98" w:rsidRDefault="00290B98">
            <w:pPr>
              <w:widowControl/>
              <w:jc w:val="left"/>
              <w:rPr>
                <w:rFonts w:ascii="宋体" w:eastAsia="宋体" w:hAnsi="宋体" w:cs="宋体"/>
                <w:color w:val="000000"/>
                <w:kern w:val="0"/>
                <w:sz w:val="20"/>
                <w:szCs w:val="20"/>
              </w:rPr>
            </w:pPr>
          </w:p>
        </w:tc>
        <w:tc>
          <w:tcPr>
            <w:tcW w:w="1932" w:type="dxa"/>
            <w:vMerge/>
            <w:vAlign w:val="center"/>
          </w:tcPr>
          <w:p w14:paraId="0891CB27" w14:textId="77777777" w:rsidR="00290B98" w:rsidRDefault="00290B98">
            <w:pPr>
              <w:widowControl/>
              <w:jc w:val="left"/>
              <w:rPr>
                <w:rFonts w:ascii="宋体" w:eastAsia="宋体" w:hAnsi="宋体" w:cs="宋体"/>
                <w:color w:val="000000"/>
                <w:kern w:val="0"/>
                <w:sz w:val="20"/>
                <w:szCs w:val="20"/>
              </w:rPr>
            </w:pPr>
          </w:p>
        </w:tc>
      </w:tr>
      <w:tr w:rsidR="00A7341B" w14:paraId="325024AA" w14:textId="77777777" w:rsidTr="004835A6">
        <w:trPr>
          <w:trHeight w:val="8112"/>
        </w:trPr>
        <w:tc>
          <w:tcPr>
            <w:tcW w:w="656" w:type="dxa"/>
            <w:shd w:val="clear" w:color="auto" w:fill="auto"/>
            <w:vAlign w:val="center"/>
          </w:tcPr>
          <w:p w14:paraId="06E94A71" w14:textId="77777777" w:rsidR="00A7341B"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7</w:t>
            </w:r>
          </w:p>
        </w:tc>
        <w:tc>
          <w:tcPr>
            <w:tcW w:w="1065" w:type="dxa"/>
            <w:shd w:val="clear" w:color="auto" w:fill="auto"/>
            <w:vAlign w:val="center"/>
          </w:tcPr>
          <w:p w14:paraId="3ED97BAF" w14:textId="77777777" w:rsidR="00A7341B"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L屏风办公桌</w:t>
            </w:r>
          </w:p>
        </w:tc>
        <w:tc>
          <w:tcPr>
            <w:tcW w:w="1710" w:type="dxa"/>
            <w:shd w:val="clear" w:color="auto" w:fill="auto"/>
            <w:vAlign w:val="center"/>
          </w:tcPr>
          <w:p w14:paraId="386ACFFA" w14:textId="77777777" w:rsidR="00A7341B"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1400*1400*1200mm</w:t>
            </w:r>
          </w:p>
        </w:tc>
        <w:tc>
          <w:tcPr>
            <w:tcW w:w="735" w:type="dxa"/>
            <w:shd w:val="clear" w:color="auto" w:fill="auto"/>
            <w:vAlign w:val="center"/>
          </w:tcPr>
          <w:p w14:paraId="74B976C5" w14:textId="404730B7" w:rsidR="00A7341B" w:rsidRDefault="00A7341B">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32</w:t>
            </w:r>
          </w:p>
        </w:tc>
        <w:tc>
          <w:tcPr>
            <w:tcW w:w="600" w:type="dxa"/>
            <w:shd w:val="clear" w:color="auto" w:fill="auto"/>
            <w:vAlign w:val="center"/>
          </w:tcPr>
          <w:p w14:paraId="0A0E5250" w14:textId="77777777" w:rsidR="00A7341B"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shd w:val="clear" w:color="auto" w:fill="auto"/>
            <w:vAlign w:val="center"/>
          </w:tcPr>
          <w:p w14:paraId="62788C85" w14:textId="17F63888" w:rsidR="00A7341B" w:rsidRDefault="00A7341B">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板基材：实木颗粒板，基材厚度≥25mm，甲醛释放量≤0.05mg/m³，密度0.6～0.9g/cm³；板材符合GB/T4897-2015《刨花板》的标准，吸水膨胀率≤8%，握钉力度（板面和板边≥900N），板材的防潮性能达到合格；氨释放量≤0.1mg/L，符合GB/T 36022-2018《木家具中氨释放量试验方法》的标准；板材的抗菌性能、防霉性能、燃烧性能B1(B)级以及烟毒性准安全（ZA）级均检测合格。（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45B3B2C4" w14:textId="5BE36BC2" w:rsidR="00A7341B" w:rsidRDefault="00A7341B">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封边条：厚度≥1.5mm，封边条中不含有害物质甲醛和氯乙烯单体；有害物质限量：可迁移元素（可溶性重金属），领苯二甲酸脂的总量，多溴联苯，多溴联苯醚含量均检测合格；封边条的理化性能：耐干热性、耐磨性、耐开裂性、耐老化性、耐冷热循环性、耐光色牢度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19DDEAFD" w14:textId="3EA9CDB7" w:rsidR="00A7341B" w:rsidRDefault="00A7341B">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▲3、屏风金属骨架：金属骨架涂层无锈蚀、脱色掉色，应光滑均匀，无飞漆现象，符合GB/T 3325-2024《金属家具通用技术条件》的标准；中性盐雾试验、铜加速乙酸盐雾试验以及乙酸盐雾试验耐腐蚀等级均≥9级，且符合GB/T 10125-2021《人造气氛腐蚀试验 盐雾试验》/GB/T 6461-2002《金属基体上金属和其他无机覆盖层经腐蚀试验后的试样和试件的评级》的标准。（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718CA0F5" w14:textId="77777777" w:rsidR="00A7341B" w:rsidRDefault="00A7341B">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4、锁具：锁具符合QB/T 1621-2015《家具锁》的标准，锁的牢固度：锁头使用寿命不少于2万次，锁头固定连接200N静拉力后无松动，锁舌侧向200N静载荷能正常使用；锁具中性盐雾试验和铜加速乙酸盐雾试验均≥9级。 </w:t>
            </w:r>
          </w:p>
          <w:p w14:paraId="3B07C7EC" w14:textId="77777777" w:rsidR="00A7341B" w:rsidRDefault="00A7341B">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5、配置：屏风厚度≥32mm。配置活动柜、PVC键盘架、主机架、屏风上部钢化玻璃。                                                                                       6、屏风工位成品质量要求：翘曲度、平整度、邻边垂直度、位差度、分缝、底脚平稳性均检测合格；木制件外观检测合格；金属件外观检测合格；稳定性检测合格；符合QB/T 4935-2016标准。</w:t>
            </w:r>
          </w:p>
        </w:tc>
        <w:tc>
          <w:tcPr>
            <w:tcW w:w="1932" w:type="dxa"/>
            <w:shd w:val="clear" w:color="auto" w:fill="auto"/>
            <w:vAlign w:val="center"/>
          </w:tcPr>
          <w:p w14:paraId="348D7862" w14:textId="77777777" w:rsidR="00A7341B" w:rsidRDefault="00A7341B">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37F304C7" wp14:editId="010B17F8">
                  <wp:extent cx="1079500" cy="797560"/>
                  <wp:effectExtent l="0" t="0" r="6350" b="2540"/>
                  <wp:docPr id="15723554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55455" name="图片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079500" cy="797560"/>
                          </a:xfrm>
                          <a:prstGeom prst="rect">
                            <a:avLst/>
                          </a:prstGeom>
                          <a:noFill/>
                          <a:ln>
                            <a:noFill/>
                          </a:ln>
                        </pic:spPr>
                      </pic:pic>
                    </a:graphicData>
                  </a:graphic>
                </wp:inline>
              </w:drawing>
            </w:r>
          </w:p>
        </w:tc>
      </w:tr>
      <w:tr w:rsidR="00290B98" w14:paraId="37E2CACE" w14:textId="77777777" w:rsidTr="00A7341B">
        <w:trPr>
          <w:trHeight w:val="298"/>
        </w:trPr>
        <w:tc>
          <w:tcPr>
            <w:tcW w:w="656" w:type="dxa"/>
            <w:shd w:val="clear" w:color="auto" w:fill="auto"/>
            <w:vAlign w:val="center"/>
          </w:tcPr>
          <w:p w14:paraId="06A0194C" w14:textId="3A2E4F10" w:rsidR="00290B98" w:rsidRDefault="00A7341B">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lastRenderedPageBreak/>
              <w:t>8</w:t>
            </w:r>
          </w:p>
        </w:tc>
        <w:tc>
          <w:tcPr>
            <w:tcW w:w="1065" w:type="dxa"/>
            <w:shd w:val="clear" w:color="auto" w:fill="auto"/>
            <w:vAlign w:val="center"/>
          </w:tcPr>
          <w:p w14:paraId="46F7387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会议条桌2</w:t>
            </w:r>
          </w:p>
        </w:tc>
        <w:tc>
          <w:tcPr>
            <w:tcW w:w="1710" w:type="dxa"/>
            <w:shd w:val="clear" w:color="auto" w:fill="auto"/>
            <w:vAlign w:val="center"/>
          </w:tcPr>
          <w:p w14:paraId="153D6454"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1200*600*750mm</w:t>
            </w:r>
          </w:p>
        </w:tc>
        <w:tc>
          <w:tcPr>
            <w:tcW w:w="735" w:type="dxa"/>
            <w:shd w:val="clear" w:color="auto" w:fill="auto"/>
            <w:vAlign w:val="center"/>
          </w:tcPr>
          <w:p w14:paraId="6F3EA81B" w14:textId="11478121" w:rsidR="00290B98" w:rsidRDefault="00A7341B">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15</w:t>
            </w:r>
          </w:p>
        </w:tc>
        <w:tc>
          <w:tcPr>
            <w:tcW w:w="600" w:type="dxa"/>
            <w:shd w:val="clear" w:color="auto" w:fill="auto"/>
            <w:vAlign w:val="center"/>
          </w:tcPr>
          <w:p w14:paraId="51C3F97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6646F69E" w14:textId="1345AFF6"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贴面材料：采用三聚氰胺浸渍纸，甲醛和总挥发性有机化合物（TVOC）未检出；原纸外观质量达到合格；理化性能：灰分15～35%、pH值6.5～7.5、水分≤2%，纵向干抗张强度≥27N/15mm、纵向湿抗张强度≥8N/15mm、耐热性1-2级、耐光色牢度≥7级。（</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                                                                       2、板材采用实木颗粒板：板内密度偏差±5%，含水率4~13%，甲醛释放量≤0.045mg/m³，弹性模量≥2500MPa，内胶合强度≥0.50MPa，表面胶合强度≥1.5MPa，2h吸水厚度膨胀率≤5%，静曲强度≥15.0MPa，板面握螺钉力≥1000N、板边握螺钉力≥800N。</w:t>
            </w:r>
          </w:p>
          <w:p w14:paraId="4B6FECCE"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封边条：可迁移元素均未检出；塑料多环芳烃均未检出；外观无皱纹、裂纹、折痕，表面应光滑，花纹应清晰、均匀，无漏印，无明显色差，背胶处理应均匀，边缘应光滑平直，无缺损，边缘直线度、耐冷热循环性、耐开裂性、耐老化性、耐光色牢度、多溴联苯、多溴联苯醚均检测合格。</w:t>
            </w:r>
          </w:p>
          <w:p w14:paraId="1FDC79C6" w14:textId="737C38F8"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▲4、螺丝：金属涂层无锈蚀，符合GB/T3325-2024《金属家具通用技术条件》的标准；中性盐雾试验、铜加速乙酸盐雾试验以及乙酸盐雾试验耐腐蚀等级均≥9级，符合GB/T10125-2021《人造气氛腐蚀试验 盐雾试验》/GB/T 6461-2002《金属基体上金属和其他无机覆盖层经腐蚀试验后的试样和试件的评级》的标准；可迁移元素含量均检测合格。（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683859B9" w14:textId="7FA282AB"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▲5、脚架：金属脚架的中性盐雾试验、铜加速乙酸盐雾试验以及乙酸盐雾试验耐腐蚀等级均≥9级，符合GB/T10125-2021《人造气氛腐蚀试验 盐雾试验》/GB/T 6461-2002《金属基体上金属和其他无机覆盖层经腐蚀试验后的试样和试件的评级》的标准；可迁移元素：锑（Sb）、钡（Ba）、砷（As）、镉（Cd）、铬（Cr）、铅（pb）、汞（Hg）元素含量均符合或合格，且符合HJ2547-2016《环境标志产品技术要求 家具》的标准。（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54D70245"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6、台面厚度≥25mm。配置互扣连接件，可折叠，带可锁定脚轮。背板为冷轧钢板材质。</w:t>
            </w:r>
          </w:p>
          <w:p w14:paraId="577EF8C4"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7、产品符合GB/T 3324-2024标准。</w:t>
            </w:r>
          </w:p>
        </w:tc>
        <w:tc>
          <w:tcPr>
            <w:tcW w:w="1932" w:type="dxa"/>
            <w:shd w:val="clear" w:color="auto" w:fill="auto"/>
            <w:noWrap/>
            <w:vAlign w:val="center"/>
          </w:tcPr>
          <w:p w14:paraId="3D1A6007" w14:textId="77777777" w:rsidR="00290B98" w:rsidRDefault="00CF5C43">
            <w:pPr>
              <w:widowControl/>
              <w:jc w:val="left"/>
              <w:rPr>
                <w:rFonts w:ascii="宋体" w:eastAsia="宋体" w:hAnsi="宋体" w:cs="宋体"/>
                <w:color w:val="000000"/>
                <w:kern w:val="0"/>
                <w:sz w:val="22"/>
              </w:rPr>
            </w:pPr>
            <w:r>
              <w:rPr>
                <w:rFonts w:ascii="宋体" w:eastAsia="宋体" w:hAnsi="宋体" w:cs="宋体" w:hint="eastAsia"/>
                <w:noProof/>
                <w:color w:val="000000"/>
                <w:kern w:val="0"/>
                <w:sz w:val="22"/>
              </w:rPr>
              <w:lastRenderedPageBreak/>
              <w:drawing>
                <wp:inline distT="0" distB="0" distL="0" distR="0" wp14:anchorId="21A3381F" wp14:editId="0DACCB7E">
                  <wp:extent cx="1089660" cy="836295"/>
                  <wp:effectExtent l="0" t="0" r="0" b="1905"/>
                  <wp:docPr id="17739361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36155" name="图片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089660" cy="836295"/>
                          </a:xfrm>
                          <a:prstGeom prst="rect">
                            <a:avLst/>
                          </a:prstGeom>
                          <a:noFill/>
                          <a:ln>
                            <a:noFill/>
                          </a:ln>
                        </pic:spPr>
                      </pic:pic>
                    </a:graphicData>
                  </a:graphic>
                </wp:inline>
              </w:drawing>
            </w:r>
          </w:p>
        </w:tc>
      </w:tr>
      <w:tr w:rsidR="00290B98" w14:paraId="08C6197E" w14:textId="77777777" w:rsidTr="00A7341B">
        <w:trPr>
          <w:trHeight w:val="4335"/>
        </w:trPr>
        <w:tc>
          <w:tcPr>
            <w:tcW w:w="656" w:type="dxa"/>
            <w:shd w:val="clear" w:color="auto" w:fill="auto"/>
            <w:vAlign w:val="center"/>
          </w:tcPr>
          <w:p w14:paraId="128B07A5" w14:textId="2B7D9681" w:rsidR="00290B98" w:rsidRDefault="00A7341B">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9</w:t>
            </w:r>
          </w:p>
        </w:tc>
        <w:tc>
          <w:tcPr>
            <w:tcW w:w="1065" w:type="dxa"/>
            <w:shd w:val="clear" w:color="auto" w:fill="auto"/>
            <w:vAlign w:val="center"/>
          </w:tcPr>
          <w:p w14:paraId="7AB1115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会议桌1</w:t>
            </w:r>
          </w:p>
        </w:tc>
        <w:tc>
          <w:tcPr>
            <w:tcW w:w="1710" w:type="dxa"/>
            <w:shd w:val="clear" w:color="auto" w:fill="auto"/>
            <w:vAlign w:val="center"/>
          </w:tcPr>
          <w:p w14:paraId="75F4277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3200*1500*760mm</w:t>
            </w:r>
          </w:p>
        </w:tc>
        <w:tc>
          <w:tcPr>
            <w:tcW w:w="735" w:type="dxa"/>
            <w:shd w:val="clear" w:color="auto" w:fill="auto"/>
            <w:vAlign w:val="center"/>
          </w:tcPr>
          <w:p w14:paraId="329B558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w:t>
            </w:r>
          </w:p>
        </w:tc>
        <w:tc>
          <w:tcPr>
            <w:tcW w:w="600" w:type="dxa"/>
            <w:shd w:val="clear" w:color="auto" w:fill="auto"/>
            <w:vAlign w:val="center"/>
          </w:tcPr>
          <w:p w14:paraId="0C2DE12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57239AB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基材：采用三聚氰胺板，厚度25mm，检验依据均包含：GB/T15102-2017《浸渍胶膜纸饰面纤维板和刨花板》的标准和相关要求，检测项包含：密度≥0.7g/cm³，静曲强度≥15MPa，表面胶合强度≥1.0MPa，内结合强度≥0.5MPa，含水率≤9%，甲醛释放量≤0.05mg/m³，总挥发性有机化合物（TVOC)、苯、甲苯、二甲苯未检出。</w:t>
            </w:r>
          </w:p>
          <w:p w14:paraId="0BF24601"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封边条：采用PVC封边条，检验依据包含：QB/T4463-2013《家具用封边条技术要求》的相关标准和要求，检测项包含：甲醛释放量≤0.05mg/L，氯乙烯单体≤0.5mg/kg，可溶性重金属含量（铅、镉、铬、汞）均未检出，耐干热性、耐磨性、耐开裂性、耐老化性、耐冷热循环性、耐光色牢度均检测合格。</w:t>
            </w:r>
          </w:p>
          <w:p w14:paraId="687455B3"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3、胶水：采用粘胶剂或MDI胶。胶水中水基型胶粘剂VOC含量限量、游离甲醛、苯、甲苯、二甲苯均未检出。</w:t>
            </w:r>
          </w:p>
          <w:p w14:paraId="52089CDA" w14:textId="187BCEA3"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连接钢管脚架：采用钢管，规格≥40*40*1.2mm；下屈服强度检测合格；抗拉强度检测合格；断后伸长率检测合格；经过人造气氛腐蚀试验（中性盐雾NSS）,试验周期≥120h。起泡等级不少于0级。生锈等级不少于Ri0级。开裂等级不少于0级。剥落等级不少于0级。（</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2F763575"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5、配置：台面厚度≥25mm。成品符合GB/T3325-2024标准。</w:t>
            </w:r>
          </w:p>
        </w:tc>
        <w:tc>
          <w:tcPr>
            <w:tcW w:w="1932" w:type="dxa"/>
            <w:shd w:val="clear" w:color="auto" w:fill="auto"/>
            <w:vAlign w:val="center"/>
          </w:tcPr>
          <w:p w14:paraId="64ED904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390751AA" wp14:editId="68D4C162">
                  <wp:extent cx="1089660" cy="690880"/>
                  <wp:effectExtent l="0" t="0" r="0" b="0"/>
                  <wp:docPr id="12057462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46222" name="图片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089660" cy="690880"/>
                          </a:xfrm>
                          <a:prstGeom prst="rect">
                            <a:avLst/>
                          </a:prstGeom>
                          <a:noFill/>
                          <a:ln>
                            <a:noFill/>
                          </a:ln>
                        </pic:spPr>
                      </pic:pic>
                    </a:graphicData>
                  </a:graphic>
                </wp:inline>
              </w:drawing>
            </w:r>
          </w:p>
        </w:tc>
      </w:tr>
      <w:tr w:rsidR="00290B98" w14:paraId="477CCFB9" w14:textId="77777777" w:rsidTr="00A7341B">
        <w:trPr>
          <w:trHeight w:val="1721"/>
        </w:trPr>
        <w:tc>
          <w:tcPr>
            <w:tcW w:w="656" w:type="dxa"/>
            <w:shd w:val="clear" w:color="auto" w:fill="auto"/>
            <w:vAlign w:val="center"/>
          </w:tcPr>
          <w:p w14:paraId="32CCB4BE" w14:textId="033C101F"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sidR="00A7341B">
              <w:rPr>
                <w:rFonts w:ascii="宋体" w:eastAsia="宋体" w:hAnsi="宋体" w:cs="宋体"/>
                <w:color w:val="000000"/>
                <w:kern w:val="0"/>
                <w:sz w:val="20"/>
                <w:szCs w:val="20"/>
              </w:rPr>
              <w:t>0</w:t>
            </w:r>
          </w:p>
        </w:tc>
        <w:tc>
          <w:tcPr>
            <w:tcW w:w="1065" w:type="dxa"/>
            <w:shd w:val="clear" w:color="auto" w:fill="auto"/>
            <w:vAlign w:val="center"/>
          </w:tcPr>
          <w:p w14:paraId="723E98D0" w14:textId="14C3C9F5" w:rsidR="00290B98"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会议桌</w:t>
            </w:r>
            <w:r>
              <w:rPr>
                <w:rFonts w:ascii="宋体" w:eastAsia="宋体" w:hAnsi="宋体" w:cs="宋体"/>
                <w:color w:val="000000"/>
                <w:kern w:val="0"/>
                <w:sz w:val="20"/>
                <w:szCs w:val="20"/>
              </w:rPr>
              <w:t>2</w:t>
            </w:r>
          </w:p>
        </w:tc>
        <w:tc>
          <w:tcPr>
            <w:tcW w:w="1710" w:type="dxa"/>
            <w:shd w:val="clear" w:color="auto" w:fill="auto"/>
            <w:vAlign w:val="center"/>
          </w:tcPr>
          <w:p w14:paraId="667961D1" w14:textId="41D6106C" w:rsidR="00290B98" w:rsidRDefault="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w:t>
            </w:r>
            <w:r w:rsidR="00344EF7">
              <w:rPr>
                <w:rFonts w:ascii="宋体" w:eastAsia="宋体" w:hAnsi="宋体" w:cs="宋体"/>
                <w:color w:val="000000"/>
                <w:kern w:val="0"/>
                <w:sz w:val="20"/>
                <w:szCs w:val="20"/>
              </w:rPr>
              <w:t>0</w:t>
            </w:r>
            <w:r>
              <w:rPr>
                <w:rFonts w:ascii="宋体" w:eastAsia="宋体" w:hAnsi="宋体" w:cs="宋体" w:hint="eastAsia"/>
                <w:color w:val="000000"/>
                <w:kern w:val="0"/>
                <w:sz w:val="20"/>
                <w:szCs w:val="20"/>
              </w:rPr>
              <w:t>00*1</w:t>
            </w:r>
            <w:r>
              <w:rPr>
                <w:rFonts w:ascii="宋体" w:eastAsia="宋体" w:hAnsi="宋体" w:cs="宋体"/>
                <w:color w:val="000000"/>
                <w:kern w:val="0"/>
                <w:sz w:val="20"/>
                <w:szCs w:val="20"/>
              </w:rPr>
              <w:t>2</w:t>
            </w:r>
            <w:r>
              <w:rPr>
                <w:rFonts w:ascii="宋体" w:eastAsia="宋体" w:hAnsi="宋体" w:cs="宋体" w:hint="eastAsia"/>
                <w:color w:val="000000"/>
                <w:kern w:val="0"/>
                <w:sz w:val="20"/>
                <w:szCs w:val="20"/>
              </w:rPr>
              <w:t>00*760mm</w:t>
            </w:r>
          </w:p>
        </w:tc>
        <w:tc>
          <w:tcPr>
            <w:tcW w:w="735" w:type="dxa"/>
            <w:shd w:val="clear" w:color="auto" w:fill="auto"/>
            <w:vAlign w:val="center"/>
          </w:tcPr>
          <w:p w14:paraId="59AA6B50" w14:textId="7DF9381C" w:rsidR="00290B98" w:rsidRDefault="00A7341B">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6</w:t>
            </w:r>
          </w:p>
        </w:tc>
        <w:tc>
          <w:tcPr>
            <w:tcW w:w="600" w:type="dxa"/>
            <w:shd w:val="clear" w:color="auto" w:fill="auto"/>
            <w:vAlign w:val="center"/>
          </w:tcPr>
          <w:p w14:paraId="79E3B47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2F8F930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板面基材：采用中密度纤维板，厚度≥25mm，甲醛释放量≤0.05mg/m³；板材不准许出现分层、鼓泡，板材的密度、握螺钉力、静曲强度、弹性模量、表面胶合强度均检测合格；氨释放量≤0.1mg/L，板材的燃烧性能B1(B)级检测合格。 </w:t>
            </w:r>
          </w:p>
          <w:p w14:paraId="32090E66" w14:textId="60B30813"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2、胶水：采用粘胶剂或MDI胶。胶水中水基型胶粘剂VOC含量限量、游离甲醛、苯、甲苯、二甲苯均未检出。                                                                                                        </w:t>
            </w:r>
            <w:r>
              <w:rPr>
                <w:rFonts w:ascii="宋体" w:eastAsia="宋体" w:hAnsi="宋体" w:cs="宋体" w:hint="eastAsia"/>
                <w:color w:val="000000"/>
                <w:kern w:val="0"/>
                <w:sz w:val="20"/>
                <w:szCs w:val="20"/>
              </w:rPr>
              <w:lastRenderedPageBreak/>
              <w:t>▲3、面材木皮：甲醛释放量未检出；含水率6-14%。（</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207A2D22"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水性面漆：VOC含量＜250g/L；甲醛含量、总铅（pb）含量、可溶性镉、可溶性铬、可溶性汞、乙二醇醚及醚酯总和含量、烷基酚聚氧乙烯醚总和含量均未检出；细度（色漆）、不挥发物、干燥时间（表干、实干）、耐沸水性、耐液性-耐醇性、耐液性-耐污染性均检测合格。</w:t>
            </w:r>
          </w:p>
          <w:p w14:paraId="0A222F2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5、连接五金：三合一连接件，金属件涂层无锈蚀，表面光滑均匀无流挂，并符合GB/T3325-2024《金属家具通用技术条件》的标准；中性盐雾试验、铜加速乙酸盐雾试验以及乙酸盐雾试验耐腐蚀等级均≥9级。</w:t>
            </w:r>
          </w:p>
          <w:p w14:paraId="5C7858D7"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6、台面厚度≥25mm，实木脚架。产品符合GB/T3324-2024标准。</w:t>
            </w:r>
          </w:p>
        </w:tc>
        <w:tc>
          <w:tcPr>
            <w:tcW w:w="1932" w:type="dxa"/>
            <w:shd w:val="clear" w:color="auto" w:fill="auto"/>
            <w:vAlign w:val="center"/>
          </w:tcPr>
          <w:p w14:paraId="0FF5103E" w14:textId="3DD7D065" w:rsidR="00290B98" w:rsidRDefault="00A7341B">
            <w:pPr>
              <w:widowControl/>
              <w:jc w:val="center"/>
              <w:rPr>
                <w:rFonts w:ascii="宋体" w:eastAsia="宋体" w:hAnsi="宋体" w:cs="宋体"/>
                <w:color w:val="000000"/>
                <w:kern w:val="0"/>
                <w:sz w:val="20"/>
                <w:szCs w:val="20"/>
              </w:rPr>
            </w:pPr>
            <w:r>
              <w:rPr>
                <w:noProof/>
              </w:rPr>
              <w:lastRenderedPageBreak/>
              <w:drawing>
                <wp:inline distT="0" distB="0" distL="114300" distR="114300" wp14:anchorId="1B62777A" wp14:editId="2B8E536C">
                  <wp:extent cx="1106170" cy="473710"/>
                  <wp:effectExtent l="0" t="0" r="1778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1106170" cy="473710"/>
                          </a:xfrm>
                          <a:prstGeom prst="rect">
                            <a:avLst/>
                          </a:prstGeom>
                          <a:noFill/>
                          <a:ln>
                            <a:noFill/>
                          </a:ln>
                        </pic:spPr>
                      </pic:pic>
                    </a:graphicData>
                  </a:graphic>
                </wp:inline>
              </w:drawing>
            </w:r>
          </w:p>
        </w:tc>
      </w:tr>
      <w:tr w:rsidR="00A7341B" w14:paraId="4C5015E5" w14:textId="77777777" w:rsidTr="00A7341B">
        <w:trPr>
          <w:trHeight w:val="1721"/>
        </w:trPr>
        <w:tc>
          <w:tcPr>
            <w:tcW w:w="656" w:type="dxa"/>
            <w:shd w:val="clear" w:color="auto" w:fill="auto"/>
            <w:vAlign w:val="center"/>
          </w:tcPr>
          <w:p w14:paraId="6A562858" w14:textId="2BB79B83" w:rsidR="00A7341B" w:rsidRDefault="00A7341B" w:rsidP="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11</w:t>
            </w:r>
          </w:p>
        </w:tc>
        <w:tc>
          <w:tcPr>
            <w:tcW w:w="1065" w:type="dxa"/>
            <w:shd w:val="clear" w:color="auto" w:fill="auto"/>
            <w:vAlign w:val="center"/>
          </w:tcPr>
          <w:p w14:paraId="0656A18C" w14:textId="3DD5B573" w:rsidR="00A7341B" w:rsidRDefault="00A7341B" w:rsidP="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茶几1</w:t>
            </w:r>
          </w:p>
        </w:tc>
        <w:tc>
          <w:tcPr>
            <w:tcW w:w="1710" w:type="dxa"/>
            <w:shd w:val="clear" w:color="auto" w:fill="auto"/>
            <w:vAlign w:val="center"/>
          </w:tcPr>
          <w:p w14:paraId="448028B6" w14:textId="4A9ED3D8" w:rsidR="00A7341B" w:rsidRDefault="00A7341B" w:rsidP="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1200*600*450mm</w:t>
            </w:r>
          </w:p>
        </w:tc>
        <w:tc>
          <w:tcPr>
            <w:tcW w:w="735" w:type="dxa"/>
            <w:shd w:val="clear" w:color="auto" w:fill="auto"/>
            <w:vAlign w:val="center"/>
          </w:tcPr>
          <w:p w14:paraId="03A6B872" w14:textId="4A31E1DB" w:rsidR="00A7341B" w:rsidRDefault="00A7341B" w:rsidP="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15</w:t>
            </w:r>
          </w:p>
        </w:tc>
        <w:tc>
          <w:tcPr>
            <w:tcW w:w="600" w:type="dxa"/>
            <w:shd w:val="clear" w:color="auto" w:fill="auto"/>
            <w:vAlign w:val="center"/>
          </w:tcPr>
          <w:p w14:paraId="2DFE973A" w14:textId="76B266F9" w:rsidR="00A7341B" w:rsidRDefault="00A7341B" w:rsidP="00A7341B">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shd w:val="clear" w:color="auto" w:fill="auto"/>
            <w:vAlign w:val="center"/>
          </w:tcPr>
          <w:p w14:paraId="1AFC4D30" w14:textId="77777777" w:rsidR="00A7341B" w:rsidRDefault="00A7341B" w:rsidP="00A7341B">
            <w:pPr>
              <w:widowControl/>
              <w:jc w:val="left"/>
              <w:rPr>
                <w:rFonts w:ascii="宋体" w:eastAsia="宋体" w:hAnsi="宋体" w:cs="宋体"/>
                <w:color w:val="000000"/>
                <w:kern w:val="0"/>
                <w:sz w:val="20"/>
                <w:szCs w:val="20"/>
              </w:rPr>
            </w:pPr>
          </w:p>
        </w:tc>
        <w:tc>
          <w:tcPr>
            <w:tcW w:w="1932" w:type="dxa"/>
            <w:shd w:val="clear" w:color="auto" w:fill="auto"/>
            <w:vAlign w:val="center"/>
          </w:tcPr>
          <w:p w14:paraId="5C29D7FE" w14:textId="44409C28" w:rsidR="00A7341B" w:rsidRDefault="00A7341B" w:rsidP="00A7341B">
            <w:pPr>
              <w:widowControl/>
              <w:jc w:val="center"/>
              <w:rPr>
                <w:rFonts w:ascii="宋体" w:eastAsia="宋体" w:hAnsi="宋体" w:cs="宋体"/>
                <w:noProof/>
                <w:color w:val="000000"/>
                <w:kern w:val="0"/>
                <w:sz w:val="20"/>
                <w:szCs w:val="20"/>
              </w:rPr>
            </w:pPr>
            <w:r>
              <w:rPr>
                <w:rFonts w:ascii="宋体" w:eastAsia="宋体" w:hAnsi="宋体" w:cs="宋体" w:hint="eastAsia"/>
                <w:noProof/>
                <w:color w:val="000000"/>
                <w:kern w:val="0"/>
                <w:sz w:val="20"/>
                <w:szCs w:val="20"/>
              </w:rPr>
              <w:drawing>
                <wp:inline distT="0" distB="0" distL="0" distR="0" wp14:anchorId="7DB3826B" wp14:editId="6A9F458B">
                  <wp:extent cx="1089660" cy="632460"/>
                  <wp:effectExtent l="0" t="0" r="0" b="0"/>
                  <wp:docPr id="20483760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76022" name="图片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089660" cy="632460"/>
                          </a:xfrm>
                          <a:prstGeom prst="rect">
                            <a:avLst/>
                          </a:prstGeom>
                          <a:noFill/>
                          <a:ln>
                            <a:noFill/>
                          </a:ln>
                        </pic:spPr>
                      </pic:pic>
                    </a:graphicData>
                  </a:graphic>
                </wp:inline>
              </w:drawing>
            </w:r>
          </w:p>
        </w:tc>
      </w:tr>
      <w:tr w:rsidR="00290B98" w14:paraId="7FB0F7C5" w14:textId="77777777" w:rsidTr="00A7341B">
        <w:trPr>
          <w:trHeight w:val="1500"/>
        </w:trPr>
        <w:tc>
          <w:tcPr>
            <w:tcW w:w="656" w:type="dxa"/>
            <w:shd w:val="clear" w:color="auto" w:fill="auto"/>
            <w:vAlign w:val="center"/>
          </w:tcPr>
          <w:p w14:paraId="1A39C4B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w:t>
            </w:r>
          </w:p>
        </w:tc>
        <w:tc>
          <w:tcPr>
            <w:tcW w:w="1065" w:type="dxa"/>
            <w:shd w:val="clear" w:color="auto" w:fill="auto"/>
            <w:vAlign w:val="center"/>
          </w:tcPr>
          <w:p w14:paraId="353BCE5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茶几2</w:t>
            </w:r>
          </w:p>
        </w:tc>
        <w:tc>
          <w:tcPr>
            <w:tcW w:w="1710" w:type="dxa"/>
            <w:shd w:val="clear" w:color="auto" w:fill="auto"/>
            <w:vAlign w:val="center"/>
          </w:tcPr>
          <w:p w14:paraId="5268764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600*600*450mm</w:t>
            </w:r>
          </w:p>
        </w:tc>
        <w:tc>
          <w:tcPr>
            <w:tcW w:w="735" w:type="dxa"/>
            <w:shd w:val="clear" w:color="auto" w:fill="auto"/>
            <w:vAlign w:val="center"/>
          </w:tcPr>
          <w:p w14:paraId="0C8DD63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7</w:t>
            </w:r>
          </w:p>
        </w:tc>
        <w:tc>
          <w:tcPr>
            <w:tcW w:w="600" w:type="dxa"/>
            <w:shd w:val="clear" w:color="auto" w:fill="auto"/>
            <w:vAlign w:val="center"/>
          </w:tcPr>
          <w:p w14:paraId="385EADD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ign w:val="center"/>
          </w:tcPr>
          <w:p w14:paraId="234069CD" w14:textId="77777777" w:rsidR="00290B98" w:rsidRDefault="00290B98">
            <w:pPr>
              <w:widowControl/>
              <w:jc w:val="left"/>
              <w:rPr>
                <w:rFonts w:ascii="宋体" w:eastAsia="宋体" w:hAnsi="宋体" w:cs="宋体"/>
                <w:color w:val="000000"/>
                <w:kern w:val="0"/>
                <w:sz w:val="20"/>
                <w:szCs w:val="20"/>
              </w:rPr>
            </w:pPr>
          </w:p>
        </w:tc>
        <w:tc>
          <w:tcPr>
            <w:tcW w:w="1932" w:type="dxa"/>
            <w:shd w:val="clear" w:color="auto" w:fill="auto"/>
            <w:vAlign w:val="center"/>
          </w:tcPr>
          <w:p w14:paraId="79279CA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E659BC6" wp14:editId="0B15C7E2">
                  <wp:extent cx="894715" cy="865505"/>
                  <wp:effectExtent l="0" t="0" r="635" b="0"/>
                  <wp:docPr id="168130769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07698" name="图片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894715" cy="865505"/>
                          </a:xfrm>
                          <a:prstGeom prst="rect">
                            <a:avLst/>
                          </a:prstGeom>
                          <a:noFill/>
                          <a:ln>
                            <a:noFill/>
                          </a:ln>
                        </pic:spPr>
                      </pic:pic>
                    </a:graphicData>
                  </a:graphic>
                </wp:inline>
              </w:drawing>
            </w:r>
          </w:p>
        </w:tc>
      </w:tr>
      <w:tr w:rsidR="00290B98" w14:paraId="77AC11B3" w14:textId="77777777" w:rsidTr="00A7341B">
        <w:trPr>
          <w:trHeight w:val="4095"/>
        </w:trPr>
        <w:tc>
          <w:tcPr>
            <w:tcW w:w="656" w:type="dxa"/>
            <w:shd w:val="clear" w:color="auto" w:fill="auto"/>
            <w:vAlign w:val="center"/>
          </w:tcPr>
          <w:p w14:paraId="431E49C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w:t>
            </w:r>
          </w:p>
        </w:tc>
        <w:tc>
          <w:tcPr>
            <w:tcW w:w="1065" w:type="dxa"/>
            <w:shd w:val="clear" w:color="auto" w:fill="auto"/>
            <w:vAlign w:val="center"/>
          </w:tcPr>
          <w:p w14:paraId="7C0087C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茶几3</w:t>
            </w:r>
          </w:p>
        </w:tc>
        <w:tc>
          <w:tcPr>
            <w:tcW w:w="1710" w:type="dxa"/>
            <w:shd w:val="clear" w:color="auto" w:fill="auto"/>
            <w:vAlign w:val="center"/>
          </w:tcPr>
          <w:p w14:paraId="3B665B4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1200*600*450mm</w:t>
            </w:r>
          </w:p>
        </w:tc>
        <w:tc>
          <w:tcPr>
            <w:tcW w:w="735" w:type="dxa"/>
            <w:shd w:val="clear" w:color="auto" w:fill="auto"/>
            <w:vAlign w:val="center"/>
          </w:tcPr>
          <w:p w14:paraId="60C969D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29ED76C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15F19F4F" w14:textId="4F4997F8"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1、面材三聚氰胺板饰面纸：挥发物含量检测合格；外观质量合格；印刷装饰胶膜纸外观质量要求检测合格；浸胶量偏差检测合格；预固化度均检测合格。                                                             ▲2、基材：实木多层板，厚度≥25mm，甲醛释放量≤0.05mg/m³。板材符合GB/T9846-2015《普通胶合板》的标准，静曲强度≥18MPa，胶合强度≥0.7MPa，实木多层板外观质量均检测合格；氨释放量≦0.1mg/L符合GB/T 36022-2018《木家具中氨释放量试验方法》的标准；板材的燃烧性能B1(B)级以及准安全级（ZA）烟毒性均检测合格。（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71796154"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封边条：可迁移元素不少于8项均未检出；塑料多环芳烃均未检出；外观无皱纹、裂纹、折痕，表面应光滑，花纹应清晰、均匀，无漏印，无明显色差，背胶处理应均匀，边缘应光滑平直，无缺损，边缘直线度、耐冷热循环性、耐开裂性、耐老化性、耐光色牢度、多溴联苯、多溴联苯醚均检测合格。</w:t>
            </w:r>
          </w:p>
          <w:p w14:paraId="5897C63B"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4、热熔胶：游离甲醛、二氯甲烷、卤代烃、苯均未检出；PH值、黏度、压缩剪切强度（干强度、湿强度）均检测合格。</w:t>
            </w:r>
          </w:p>
          <w:p w14:paraId="519CA2DE"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钢脚架：管材外观检测合格；焊接件外观检测合格；冲压件外观检测合格；下屈服强度Rₑʟ、断后伸长率检测合格；紧固件外观检测合格；喷涂件外观检测合格；可溶性重金属六价铬未检出；可迁移元素未检出；可接触的棱角与棱倒圆半径不应小于2mm；其他所有的边应圆滑、无毛刺；金属喷漆（塑）涂层硬度：铅笔</w:t>
            </w:r>
            <w:r>
              <w:rPr>
                <w:rFonts w:ascii="宋体" w:eastAsia="宋体" w:hAnsi="宋体" w:cs="宋体" w:hint="eastAsia"/>
                <w:color w:val="000000"/>
                <w:kern w:val="0"/>
                <w:sz w:val="20"/>
                <w:szCs w:val="20"/>
              </w:rPr>
              <w:lastRenderedPageBreak/>
              <w:t>硬度≥3H无塑性变形或内聚破坏； 金属喷漆（塑）涂层耐盐浴检测合格；金属喷漆（塑）涂层附着力检测合格；金属喷漆（塑）涂层冲击强度检测合格；金属喷涂层厚度检测合格；中性盐雾试验不少于100h，耐腐蚀等级达到10级；乙酸盐雾试验不少于100h耐腐蚀等级达到10级。</w:t>
            </w:r>
          </w:p>
          <w:p w14:paraId="01210BE6"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6、产品符合GB/T3324-2024标准。</w:t>
            </w:r>
          </w:p>
        </w:tc>
        <w:tc>
          <w:tcPr>
            <w:tcW w:w="1932" w:type="dxa"/>
            <w:shd w:val="clear" w:color="auto" w:fill="auto"/>
            <w:vAlign w:val="center"/>
          </w:tcPr>
          <w:p w14:paraId="6BD2239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5DA1F17B" wp14:editId="28B9E75B">
                  <wp:extent cx="1089660" cy="574040"/>
                  <wp:effectExtent l="0" t="0" r="0" b="0"/>
                  <wp:docPr id="11495659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65965" name="图片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089660" cy="574040"/>
                          </a:xfrm>
                          <a:prstGeom prst="rect">
                            <a:avLst/>
                          </a:prstGeom>
                          <a:noFill/>
                          <a:ln>
                            <a:noFill/>
                          </a:ln>
                        </pic:spPr>
                      </pic:pic>
                    </a:graphicData>
                  </a:graphic>
                </wp:inline>
              </w:drawing>
            </w:r>
          </w:p>
        </w:tc>
      </w:tr>
      <w:tr w:rsidR="00290B98" w14:paraId="6D10143B" w14:textId="77777777" w:rsidTr="00A7341B">
        <w:trPr>
          <w:trHeight w:val="2684"/>
        </w:trPr>
        <w:tc>
          <w:tcPr>
            <w:tcW w:w="656" w:type="dxa"/>
            <w:shd w:val="clear" w:color="auto" w:fill="auto"/>
            <w:vAlign w:val="center"/>
          </w:tcPr>
          <w:p w14:paraId="1F2FEE1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w:t>
            </w:r>
          </w:p>
        </w:tc>
        <w:tc>
          <w:tcPr>
            <w:tcW w:w="1065" w:type="dxa"/>
            <w:shd w:val="clear" w:color="auto" w:fill="auto"/>
            <w:vAlign w:val="center"/>
          </w:tcPr>
          <w:p w14:paraId="0CCE087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办公转椅</w:t>
            </w:r>
          </w:p>
        </w:tc>
        <w:tc>
          <w:tcPr>
            <w:tcW w:w="1710" w:type="dxa"/>
            <w:shd w:val="clear" w:color="auto" w:fill="auto"/>
            <w:vAlign w:val="center"/>
          </w:tcPr>
          <w:p w14:paraId="5728108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660*700*1160*1240mm</w:t>
            </w:r>
          </w:p>
        </w:tc>
        <w:tc>
          <w:tcPr>
            <w:tcW w:w="735" w:type="dxa"/>
            <w:shd w:val="clear" w:color="auto" w:fill="auto"/>
            <w:vAlign w:val="center"/>
          </w:tcPr>
          <w:p w14:paraId="370EED9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74</w:t>
            </w:r>
          </w:p>
        </w:tc>
        <w:tc>
          <w:tcPr>
            <w:tcW w:w="600" w:type="dxa"/>
            <w:shd w:val="clear" w:color="auto" w:fill="auto"/>
            <w:vAlign w:val="center"/>
          </w:tcPr>
          <w:p w14:paraId="52BCF4C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360717A3"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1、网布：甲醛含量未检出；重金属含量（铅、镉）未检出；网布的燃烧性能不少于 B1 级（损毁长度、续燃时间、阴燃时间）检测合格；耐湿摩擦色牢度检测合格；可分解致癌芳香胺染料未检出；邻苯二甲酸酯未检出；多环芳烃未检出。          </w:t>
            </w:r>
          </w:p>
          <w:p w14:paraId="49229B89" w14:textId="5557E17B"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▲2、底盘：多功能底盘机构，中性盐雾试验、铜加速乙酸盐雾试验以及乙酸盐雾试验耐腐蚀等级均≥9级；钢板的化学成分：Si≤0.3%、 C≤0.2%、Mn≤1.4%、P≤0.035%、S≤0.035%，拉伸试验：抗拉强度Rm370-500MPa，塑性延伸强度Rpo.2≥240MPa，断后伸长率A≥35%。符合GB/T 11253-2019《碳素结构钢冷轧钢板及钢带》的标准。（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                                                                                             3、气压棒，符合GB/T29525-2013的规定：气弹簧锁定在任意位置经72小时常温储存后，活塞杆不位移；气弹簧经-30℃和60℃各48小时高低温储存后，公称力衰减量≤2%；经耐高低温性能试验后，再经5万次循环寿命试验，气弹簧公称力总衰减量≤5.1%。</w:t>
            </w:r>
          </w:p>
          <w:p w14:paraId="4FB5B002" w14:textId="2772041A"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▲4、滑轮：符合QB/T 4765-2014《家具用脚轮》的标准，滑轮的外观：脚轮的轮面光洁，无裂纹缺陷，金属件的无锈蚀缺陷；手动锁定装置：在200N力量下,脚</w:t>
            </w:r>
            <w:r>
              <w:rPr>
                <w:rFonts w:ascii="宋体" w:eastAsia="宋体" w:hAnsi="宋体" w:cs="宋体" w:hint="eastAsia"/>
                <w:color w:val="000000"/>
                <w:kern w:val="0"/>
                <w:sz w:val="20"/>
                <w:szCs w:val="20"/>
              </w:rPr>
              <w:lastRenderedPageBreak/>
              <w:t>轮未绕轴转动。动载荷：在250N力量下,无分离和松动，脚轮的滚动、旋转和制动功能无受损。静载荷：在400N力量下达到合格。（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                                                                                 5、办公椅成品质量要求：TVOC、纺织面料干摩擦色牢度均检测合格，安全性-耐高低温性能（经-30℃和60℃高低温储存后，公称力衰减量不应大于5%），安全性循环寿命（经耐高低温性能试验后的样品，再经50000次循环寿命试验后，公称力总衰减量不应大于13%，座面冲击、扶手垂直向下静载荷、扶手水平静载荷、脚轮往复磨损、底座静载荷（7560N,1min，2次）、跌落、安全性-基本安全、安全性-密封性能均检测合格，产品符合QB/T 2280-2016标准。</w:t>
            </w:r>
          </w:p>
        </w:tc>
        <w:tc>
          <w:tcPr>
            <w:tcW w:w="1932" w:type="dxa"/>
            <w:shd w:val="clear" w:color="auto" w:fill="auto"/>
            <w:vAlign w:val="center"/>
          </w:tcPr>
          <w:p w14:paraId="082E236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7EED6892" wp14:editId="74D1930F">
                  <wp:extent cx="1089660" cy="1556385"/>
                  <wp:effectExtent l="0" t="0" r="0" b="5715"/>
                  <wp:docPr id="135678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8218" name="图片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089660" cy="1556385"/>
                          </a:xfrm>
                          <a:prstGeom prst="rect">
                            <a:avLst/>
                          </a:prstGeom>
                          <a:noFill/>
                          <a:ln>
                            <a:noFill/>
                          </a:ln>
                        </pic:spPr>
                      </pic:pic>
                    </a:graphicData>
                  </a:graphic>
                </wp:inline>
              </w:drawing>
            </w:r>
          </w:p>
        </w:tc>
      </w:tr>
      <w:tr w:rsidR="00290B98" w14:paraId="3C974DA6" w14:textId="77777777" w:rsidTr="00A7341B">
        <w:trPr>
          <w:trHeight w:val="2117"/>
        </w:trPr>
        <w:tc>
          <w:tcPr>
            <w:tcW w:w="656" w:type="dxa"/>
            <w:shd w:val="clear" w:color="auto" w:fill="auto"/>
            <w:vAlign w:val="center"/>
          </w:tcPr>
          <w:p w14:paraId="1CE50D0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15</w:t>
            </w:r>
          </w:p>
        </w:tc>
        <w:tc>
          <w:tcPr>
            <w:tcW w:w="1065" w:type="dxa"/>
            <w:shd w:val="clear" w:color="auto" w:fill="auto"/>
            <w:vAlign w:val="center"/>
          </w:tcPr>
          <w:p w14:paraId="1A31871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班椅1</w:t>
            </w:r>
          </w:p>
        </w:tc>
        <w:tc>
          <w:tcPr>
            <w:tcW w:w="1710" w:type="dxa"/>
            <w:shd w:val="clear" w:color="auto" w:fill="auto"/>
            <w:vAlign w:val="center"/>
          </w:tcPr>
          <w:p w14:paraId="7918EE2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650*700*1230mm</w:t>
            </w:r>
          </w:p>
        </w:tc>
        <w:tc>
          <w:tcPr>
            <w:tcW w:w="735" w:type="dxa"/>
            <w:shd w:val="clear" w:color="auto" w:fill="auto"/>
            <w:vAlign w:val="center"/>
          </w:tcPr>
          <w:p w14:paraId="4C76063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66DA66E4"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63AA2805" w14:textId="5C1419CF"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料：头层牛皮，符合GB/T16799-2018家具用皮革的标准及相关要求：游离甲醛含量≤10mg/kg，禁用偶氮染料未检出，摩擦色牢度（干擦、湿擦、碱性汗液均≥4级），撕裂力≥40N，PH值≥４，挥发性有机物≤20mg/kg，可萃取的重金属（铅和镉）未检出。（</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11CE36F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2、海绵：密度≥25kg/m³；回弹性≥35%；75%压缩永久变形≤8%；拉伸强度≥90kPa；断裂伸长率≥100%；撕裂强度≥1.8N/cm；游离甲醛≤100mg/kg；符合GB/T 10802-2023《通用软质聚氨酯泡沫塑料》、QB/T2280-2016《办公家具办公椅》、HJ2547-2016《环境标志产品技术要求家具》标准。</w:t>
            </w:r>
          </w:p>
          <w:p w14:paraId="2F1E56FA" w14:textId="0A2EF52A"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3、底盘：多功能底盘机构的中性盐雾试验、铜加速乙酸盐雾试验以及乙酸盐雾试验耐腐蚀等级均≥9级；钢板的化学成分：Si≤0.3%、 C≤0.2%、Mn≤1.4%、P≤0.035%、S≤0.035%，拉伸试验：抗拉强度Rm370-500MPa，塑性延伸强度Rpo.2≥240MPa，断后伸长率A≥35%。符合GB/T 11253-2019《碳素结构钢冷轧钢板及钢带》的标准。                                                                                     ▲4、气压棒：规格80—100#气压棒，气压棒的中性盐雾试验、铜加速乙酸盐雾试验以及乙酸盐雾试验耐腐蚀等级均≥9级，且符合GB/T10125-2021《人造气氛腐蚀试验 盐雾试验》/GB/T 6461-2002《金属基体上金属和其他无机覆盖层经腐蚀试验后的试样和试件的评级》的标准；力学性能：座面回转耐久性试验，安全性：密封性能、耐高低温性能、循环寿命均符合QB/T 3325-2024《金属家具通用</w:t>
            </w:r>
            <w:r>
              <w:rPr>
                <w:rFonts w:ascii="宋体" w:eastAsia="宋体" w:hAnsi="宋体" w:cs="宋体" w:hint="eastAsia"/>
                <w:color w:val="000000"/>
                <w:kern w:val="0"/>
                <w:sz w:val="20"/>
                <w:szCs w:val="20"/>
              </w:rPr>
              <w:lastRenderedPageBreak/>
              <w:t>技术条件》的标准。（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39FB7ABB"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5、办公椅成品质量要求：座面冲击检测合格；倾斜机构检测合格；座椅耐久试验检测合格；椅背静载荷检测合格；座面回转耐久性检测合格；椅背稳定性试验检测合格；前端稳定性检测合格；扶手水平静载荷试验检测合格；结构耐久性测试-循环检测合格；椅凳类稳定性检测合格；扶手耐久性试验检测合格；符合QB/T2280-2016标准。 </w:t>
            </w:r>
          </w:p>
        </w:tc>
        <w:tc>
          <w:tcPr>
            <w:tcW w:w="1932" w:type="dxa"/>
            <w:shd w:val="clear" w:color="auto" w:fill="auto"/>
            <w:vAlign w:val="center"/>
          </w:tcPr>
          <w:p w14:paraId="7FA01D7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2703A78D" wp14:editId="523FA4DD">
                  <wp:extent cx="1089660" cy="914400"/>
                  <wp:effectExtent l="0" t="0" r="0" b="0"/>
                  <wp:docPr id="4499959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95949" name="图片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089660" cy="914400"/>
                          </a:xfrm>
                          <a:prstGeom prst="rect">
                            <a:avLst/>
                          </a:prstGeom>
                          <a:noFill/>
                          <a:ln>
                            <a:noFill/>
                          </a:ln>
                        </pic:spPr>
                      </pic:pic>
                    </a:graphicData>
                  </a:graphic>
                </wp:inline>
              </w:drawing>
            </w:r>
          </w:p>
        </w:tc>
      </w:tr>
      <w:tr w:rsidR="00290B98" w14:paraId="27324E78" w14:textId="77777777" w:rsidTr="00A7341B">
        <w:trPr>
          <w:trHeight w:val="2163"/>
        </w:trPr>
        <w:tc>
          <w:tcPr>
            <w:tcW w:w="656" w:type="dxa"/>
            <w:shd w:val="clear" w:color="auto" w:fill="auto"/>
            <w:vAlign w:val="center"/>
          </w:tcPr>
          <w:p w14:paraId="138AB70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w:t>
            </w:r>
          </w:p>
        </w:tc>
        <w:tc>
          <w:tcPr>
            <w:tcW w:w="1065" w:type="dxa"/>
            <w:shd w:val="clear" w:color="auto" w:fill="auto"/>
            <w:vAlign w:val="center"/>
          </w:tcPr>
          <w:p w14:paraId="4B9CDD6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班椅2</w:t>
            </w:r>
          </w:p>
        </w:tc>
        <w:tc>
          <w:tcPr>
            <w:tcW w:w="1710" w:type="dxa"/>
            <w:shd w:val="clear" w:color="auto" w:fill="auto"/>
            <w:vAlign w:val="center"/>
          </w:tcPr>
          <w:p w14:paraId="5BE6083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640*710*1060mm</w:t>
            </w:r>
          </w:p>
        </w:tc>
        <w:tc>
          <w:tcPr>
            <w:tcW w:w="735" w:type="dxa"/>
            <w:shd w:val="clear" w:color="auto" w:fill="auto"/>
            <w:vAlign w:val="center"/>
          </w:tcPr>
          <w:p w14:paraId="22D6EDD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29</w:t>
            </w:r>
          </w:p>
        </w:tc>
        <w:tc>
          <w:tcPr>
            <w:tcW w:w="600" w:type="dxa"/>
            <w:shd w:val="clear" w:color="auto" w:fill="auto"/>
            <w:vAlign w:val="center"/>
          </w:tcPr>
          <w:p w14:paraId="2A703218"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2D3E9165" w14:textId="4680135D"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▲1、椅架实木：实木厚度≥20mm，甲醛释放量≤0.05mg/m³。氨释放量≤0.1mg/L符合GB/T 36022-2018《木家具中氨释放量试验方法》的标准；当木材含水率8%-15%时，抗弯弹性模量≥10000MPa，抗弯强度≥60MPa，抗压强度（顺纹≥35MPa、横纹≥10MPa），木材硬度≥4200N。抗劈力≥28N/㎜，握钉力度（板面和板边≥2400N）。（</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2、海绵厚度≥35mm。海绵回弹率≥50%,拉伸强度≥1100kpa，断裂伸长率≥120%，且符合GB/T 10802-2023《通用软质聚氨酯泡沫塑料》的标准；甲醛释放量以及TVOC含量符合QB/T2280-2016《办公家具 办公椅》的标准。                                                                                                 3、坐背面材料：头层牛皮，符合GB/T16799-2018家具用皮革的标准及相关要求：游离甲醛含量≤10mg/kg，禁用偶氮染料未检出，摩擦色牢度（干擦、湿擦、碱性汗液均≥4级），撕裂力≥40N，PH值≥４，挥发性有机物≤20mg/kg，可萃取的重金属（铅和镉）未检出。　</w:t>
            </w:r>
          </w:p>
          <w:p w14:paraId="545C9EE4" w14:textId="3A73BF16"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水性面漆：甲醛含量未检出；总铅（pb）含量未检出；在容器中状态：搅拌后均匀无硬块；细度（色漆）检测合格；不挥发物检测合格；干燥时间（表干、实干）检测合格；耐沸水性检测合格；可溶性镉、可溶性铬、可溶性汞均未检出；乙二醇醚及醚酯总和含量未检出；烷基酚聚氧乙烯醚总和含量未检出。（</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00486A72"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5、成品：符合QB/T2280-2016《办公家具 办公椅》的相关标准和技术要求。</w:t>
            </w:r>
          </w:p>
        </w:tc>
        <w:tc>
          <w:tcPr>
            <w:tcW w:w="1932" w:type="dxa"/>
            <w:shd w:val="clear" w:color="auto" w:fill="auto"/>
            <w:vAlign w:val="center"/>
          </w:tcPr>
          <w:p w14:paraId="7528542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6EA4878D" wp14:editId="38F12130">
                  <wp:extent cx="1060450" cy="1031240"/>
                  <wp:effectExtent l="0" t="0" r="6350" b="0"/>
                  <wp:docPr id="311761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61126" name="图片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060450" cy="1031240"/>
                          </a:xfrm>
                          <a:prstGeom prst="rect">
                            <a:avLst/>
                          </a:prstGeom>
                          <a:noFill/>
                          <a:ln>
                            <a:noFill/>
                          </a:ln>
                        </pic:spPr>
                      </pic:pic>
                    </a:graphicData>
                  </a:graphic>
                </wp:inline>
              </w:drawing>
            </w:r>
          </w:p>
        </w:tc>
      </w:tr>
      <w:tr w:rsidR="00290B98" w14:paraId="48B01B5B" w14:textId="77777777" w:rsidTr="00A7341B">
        <w:trPr>
          <w:trHeight w:val="841"/>
        </w:trPr>
        <w:tc>
          <w:tcPr>
            <w:tcW w:w="656" w:type="dxa"/>
            <w:shd w:val="clear" w:color="auto" w:fill="auto"/>
            <w:vAlign w:val="center"/>
          </w:tcPr>
          <w:p w14:paraId="4FF906B8"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17</w:t>
            </w:r>
          </w:p>
        </w:tc>
        <w:tc>
          <w:tcPr>
            <w:tcW w:w="1065" w:type="dxa"/>
            <w:shd w:val="clear" w:color="auto" w:fill="auto"/>
            <w:vAlign w:val="center"/>
          </w:tcPr>
          <w:p w14:paraId="1F83925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网布椅</w:t>
            </w:r>
          </w:p>
        </w:tc>
        <w:tc>
          <w:tcPr>
            <w:tcW w:w="1710" w:type="dxa"/>
            <w:shd w:val="clear" w:color="auto" w:fill="auto"/>
            <w:vAlign w:val="center"/>
          </w:tcPr>
          <w:p w14:paraId="1592EB9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580*570*870mm</w:t>
            </w:r>
          </w:p>
        </w:tc>
        <w:tc>
          <w:tcPr>
            <w:tcW w:w="735" w:type="dxa"/>
            <w:shd w:val="clear" w:color="auto" w:fill="auto"/>
            <w:vAlign w:val="center"/>
          </w:tcPr>
          <w:p w14:paraId="4065496A" w14:textId="6F79D65C" w:rsidR="00290B98" w:rsidRDefault="00344EF7">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6</w:t>
            </w:r>
            <w:r w:rsidR="00CF5C43">
              <w:rPr>
                <w:rFonts w:ascii="宋体" w:eastAsia="宋体" w:hAnsi="宋体" w:cs="宋体" w:hint="eastAsia"/>
                <w:color w:val="000000"/>
                <w:kern w:val="0"/>
                <w:sz w:val="20"/>
                <w:szCs w:val="20"/>
              </w:rPr>
              <w:t>3</w:t>
            </w:r>
          </w:p>
        </w:tc>
        <w:tc>
          <w:tcPr>
            <w:tcW w:w="600" w:type="dxa"/>
            <w:shd w:val="clear" w:color="auto" w:fill="auto"/>
            <w:vAlign w:val="center"/>
          </w:tcPr>
          <w:p w14:paraId="08BE3284"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03A49E9D"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1、脚架：采用金属材质制作，表面静电喷涂或电镀处理，中性盐雾试验、铜加速乙酸盐雾试验以及乙酸盐雾试验耐腐蚀等级均≥9级。</w:t>
            </w:r>
          </w:p>
          <w:p w14:paraId="5D65AA66"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2、椅子面材：网布，符合HJ 2546-2016《环境标志产品技术要求纺织产品》的标准，网布的 pH值4.0~7.5，且不含有害物甲醛；染色牢度：耐水、耐酸碱汗渍、耐唾液、耐干摩擦均达到4-5级；纺织产品中有害物：可分解致癌芳香胺染料、可萃取的重金属（砷、铅、铬、钴、镍、镉、锑、汞）的含量以及燃烧阻燃性能均达到合格；</w:t>
            </w:r>
          </w:p>
          <w:p w14:paraId="20470231" w14:textId="057682D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▲3、海绵：密度≥25kg/m³；回弹性≥35%；75%压缩永久变形≤8%；拉伸强度≥90kPa；断裂伸长率≥100%；撕裂强度≥1.8N/cm；游离甲醛≤100mg/kg；符合GB/T 10802-2023《通用软质聚氨酯泡沫塑料》、QB/T2280-2016《办公家具办公椅》、HJ2547-2016《环境标志产品技术要求家具》标准。（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5F2BE44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办公椅成品要求：软质聚氨酯泡沫塑料回弹性≥42%，75%压缩永久变形≤8%，纺织面料干摩擦色牢度≥4级，稳定性试验合格，扶手水平静载荷试验达到无损，座面冲击试验合格，座面、椅背静载荷试验达到无损，椅背往复耐久性试验合格，椅座往复冲击耐久性试验、座面左右弯曲交替负荷耐久性试验均合格，跌落试验实测达到无损，甲醛释放量≤0.020mg/m²h，TVOC未检出。</w:t>
            </w:r>
          </w:p>
        </w:tc>
        <w:tc>
          <w:tcPr>
            <w:tcW w:w="1932" w:type="dxa"/>
            <w:shd w:val="clear" w:color="auto" w:fill="auto"/>
            <w:vAlign w:val="center"/>
          </w:tcPr>
          <w:p w14:paraId="31E210E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592F6BF" wp14:editId="4210BBBA">
                  <wp:extent cx="1060450" cy="1089660"/>
                  <wp:effectExtent l="0" t="0" r="6350" b="0"/>
                  <wp:docPr id="5431226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22662" name="图片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060450" cy="1089660"/>
                          </a:xfrm>
                          <a:prstGeom prst="rect">
                            <a:avLst/>
                          </a:prstGeom>
                          <a:noFill/>
                          <a:ln>
                            <a:noFill/>
                          </a:ln>
                        </pic:spPr>
                      </pic:pic>
                    </a:graphicData>
                  </a:graphic>
                </wp:inline>
              </w:drawing>
            </w:r>
          </w:p>
        </w:tc>
      </w:tr>
      <w:tr w:rsidR="00290B98" w14:paraId="4542B8C0" w14:textId="77777777" w:rsidTr="00A7341B">
        <w:trPr>
          <w:trHeight w:val="1857"/>
        </w:trPr>
        <w:tc>
          <w:tcPr>
            <w:tcW w:w="656" w:type="dxa"/>
            <w:shd w:val="clear" w:color="auto" w:fill="auto"/>
            <w:vAlign w:val="center"/>
          </w:tcPr>
          <w:p w14:paraId="271641E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18</w:t>
            </w:r>
          </w:p>
        </w:tc>
        <w:tc>
          <w:tcPr>
            <w:tcW w:w="1065" w:type="dxa"/>
            <w:shd w:val="clear" w:color="auto" w:fill="auto"/>
            <w:vAlign w:val="center"/>
          </w:tcPr>
          <w:p w14:paraId="1BEC396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办公椅3</w:t>
            </w:r>
          </w:p>
        </w:tc>
        <w:tc>
          <w:tcPr>
            <w:tcW w:w="1710" w:type="dxa"/>
            <w:shd w:val="clear" w:color="auto" w:fill="auto"/>
            <w:vAlign w:val="center"/>
          </w:tcPr>
          <w:p w14:paraId="5063EF0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520*570*840mm</w:t>
            </w:r>
          </w:p>
        </w:tc>
        <w:tc>
          <w:tcPr>
            <w:tcW w:w="735" w:type="dxa"/>
            <w:shd w:val="clear" w:color="auto" w:fill="auto"/>
            <w:vAlign w:val="center"/>
          </w:tcPr>
          <w:p w14:paraId="24D4BC2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25</w:t>
            </w:r>
          </w:p>
        </w:tc>
        <w:tc>
          <w:tcPr>
            <w:tcW w:w="600" w:type="dxa"/>
            <w:shd w:val="clear" w:color="auto" w:fill="auto"/>
            <w:vAlign w:val="center"/>
          </w:tcPr>
          <w:p w14:paraId="1041EB6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4BF05E61"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color w:val="000000"/>
                <w:kern w:val="0"/>
                <w:sz w:val="20"/>
                <w:szCs w:val="20"/>
              </w:rPr>
              <w:t>1、网布：甲醛含量未检出；重金属含量（铅、镉）未检出；网布的燃烧性能不少于 B1 级（损毁长度、续燃时间、阴燃时间）检测合格；耐湿摩擦色牢度检测合格；可分解致癌芳香胺染料未检出；邻苯二甲酸酯未检出；多环芳烃未检出。　　　　　　　　　　　　　                               　　　　　　　　                                                                                         　2、椅座基材：采用实木多层曲木板，甲醛释放量≤0.5mg/L。                                                                                                                                3、海绵：游离甲醛未检出；表观密度偏差、外观、40%压陷硬度偏差、回弹率、75%压缩永久变形、65%/25%压陷比、气味等级、恒定负荷反复压陷疲劳后的40%压陷硬度损失值（P）、断裂伸长率、干热老化后拉伸强度及变化率、湿热老化后拉伸强度及变化率、灰分、甲醛散发、25%压陷硬度、40%压陷硬度、表观密度（座面）均检测合格；抗菌性能-抑菌率≥99%。</w:t>
            </w:r>
          </w:p>
          <w:p w14:paraId="5F617D2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color w:val="000000"/>
                <w:kern w:val="0"/>
                <w:sz w:val="20"/>
                <w:szCs w:val="20"/>
              </w:rPr>
              <w:lastRenderedPageBreak/>
              <w:t>4、背框为PP材料：塑料外观件无缺陷；塑料重金属铅、铬、汞、镉均未检出；塑料多环芳烃16种多环芳烃（PAH）总量未检出；苯并［a］芘未检出。塑料邻苯二甲酸酯DBP、BBP、DEHP、DN0P、DINP 、DIDP均未检出。</w:t>
            </w:r>
          </w:p>
          <w:p w14:paraId="3A0B8A8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color w:val="000000"/>
                <w:kern w:val="0"/>
                <w:sz w:val="20"/>
                <w:szCs w:val="20"/>
              </w:rPr>
              <w:t>5、脚架为铝合金，外观无剥落、返锈、毛刺、无烧焦、起泡、针孔、裂纹。</w:t>
            </w:r>
          </w:p>
        </w:tc>
        <w:tc>
          <w:tcPr>
            <w:tcW w:w="1932" w:type="dxa"/>
            <w:shd w:val="clear" w:color="auto" w:fill="auto"/>
            <w:noWrap/>
            <w:vAlign w:val="center"/>
          </w:tcPr>
          <w:p w14:paraId="67CD2CF6" w14:textId="77777777" w:rsidR="00290B98" w:rsidRDefault="00CF5C43">
            <w:pPr>
              <w:widowControl/>
              <w:jc w:val="center"/>
              <w:rPr>
                <w:rFonts w:ascii="宋体" w:eastAsia="宋体" w:hAnsi="宋体" w:cs="宋体"/>
                <w:color w:val="000000"/>
                <w:kern w:val="0"/>
                <w:sz w:val="22"/>
              </w:rPr>
            </w:pPr>
            <w:r>
              <w:rPr>
                <w:rFonts w:ascii="宋体" w:eastAsia="宋体" w:hAnsi="宋体" w:cs="宋体" w:hint="eastAsia"/>
                <w:noProof/>
                <w:color w:val="000000"/>
                <w:kern w:val="0"/>
                <w:sz w:val="22"/>
              </w:rPr>
              <w:lastRenderedPageBreak/>
              <w:drawing>
                <wp:inline distT="0" distB="0" distL="0" distR="0" wp14:anchorId="16FEAD35" wp14:editId="43478D8A">
                  <wp:extent cx="1089660" cy="1216025"/>
                  <wp:effectExtent l="0" t="0" r="0" b="3175"/>
                  <wp:docPr id="8757709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70955" name="图片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089660" cy="1216025"/>
                          </a:xfrm>
                          <a:prstGeom prst="rect">
                            <a:avLst/>
                          </a:prstGeom>
                          <a:noFill/>
                          <a:ln>
                            <a:noFill/>
                          </a:ln>
                        </pic:spPr>
                      </pic:pic>
                    </a:graphicData>
                  </a:graphic>
                </wp:inline>
              </w:drawing>
            </w:r>
          </w:p>
        </w:tc>
      </w:tr>
      <w:tr w:rsidR="00290B98" w14:paraId="56331AA4" w14:textId="77777777" w:rsidTr="00A7341B">
        <w:trPr>
          <w:trHeight w:val="3634"/>
        </w:trPr>
        <w:tc>
          <w:tcPr>
            <w:tcW w:w="656" w:type="dxa"/>
            <w:shd w:val="clear" w:color="auto" w:fill="auto"/>
            <w:vAlign w:val="center"/>
          </w:tcPr>
          <w:p w14:paraId="2BB6805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19</w:t>
            </w:r>
          </w:p>
        </w:tc>
        <w:tc>
          <w:tcPr>
            <w:tcW w:w="1065" w:type="dxa"/>
            <w:shd w:val="clear" w:color="auto" w:fill="auto"/>
            <w:vAlign w:val="center"/>
          </w:tcPr>
          <w:p w14:paraId="1366FE6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会议椅</w:t>
            </w:r>
          </w:p>
        </w:tc>
        <w:tc>
          <w:tcPr>
            <w:tcW w:w="1710" w:type="dxa"/>
            <w:shd w:val="clear" w:color="auto" w:fill="auto"/>
            <w:vAlign w:val="center"/>
          </w:tcPr>
          <w:p w14:paraId="713A52A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440*570*870mm</w:t>
            </w:r>
          </w:p>
        </w:tc>
        <w:tc>
          <w:tcPr>
            <w:tcW w:w="735" w:type="dxa"/>
            <w:shd w:val="clear" w:color="auto" w:fill="auto"/>
            <w:vAlign w:val="center"/>
          </w:tcPr>
          <w:p w14:paraId="65813145" w14:textId="30DFFA51" w:rsidR="00290B98" w:rsidRDefault="00344EF7">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2</w:t>
            </w:r>
            <w:r w:rsidR="00CF5C43">
              <w:rPr>
                <w:rFonts w:ascii="宋体" w:eastAsia="宋体" w:hAnsi="宋体" w:cs="宋体" w:hint="eastAsia"/>
                <w:color w:val="000000"/>
                <w:kern w:val="0"/>
                <w:sz w:val="20"/>
                <w:szCs w:val="20"/>
              </w:rPr>
              <w:t>0</w:t>
            </w:r>
          </w:p>
        </w:tc>
        <w:tc>
          <w:tcPr>
            <w:tcW w:w="600" w:type="dxa"/>
            <w:shd w:val="clear" w:color="auto" w:fill="auto"/>
            <w:vAlign w:val="center"/>
          </w:tcPr>
          <w:p w14:paraId="284C203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0B7D03BA" w14:textId="2E862F66"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坐背网布：不含有害物甲醛，pH值4.0～7.5，染色牢度：耐水、耐酸碱汗渍、耐唾液、耐干摩擦均达到4-5级；纺织产品中有害物：可分解致癌芳香胺染料含量、可萃取的重金属的含量以及燃烧阻燃性能均检测合格。（</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                                                                                                                2、脚架：采脚架钢管壁厚≥1.2mm，抗拉强度检测合格，断后伸长率检测合格，弯曲试验检测合格，化学成分（C、Si、Mn、P、S）检测合格。</w:t>
            </w:r>
          </w:p>
          <w:p w14:paraId="5604A1F4"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海绵：游离甲醛未检出；表观密度偏差、外观、40%压陷硬度偏差、回弹率、75%压缩永久变形、65%/25%压陷比、气味等级、恒定负荷反复压陷疲劳后的40%压陷硬度损失值（P）、断裂伸长率、干热老化后拉伸强度及变化率、湿热老化后拉伸强度及变化率、灰分、甲醛散发、25%压陷硬度、40%压陷硬度、表观密度（座面）均检测合格。</w:t>
            </w:r>
          </w:p>
          <w:p w14:paraId="0AC5EE01"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4、背框为PP材料：塑料外观件无缺陷；塑料重金属铅、铬、汞、镉均未检出；塑料多环芳烃16种多环芳烃（PAH）总量未检出；苯并［a］芘未检出。塑料邻苯二甲酸酯DBP、BBP、DEHP、DN0P、DINP 、DIDP均未检出。</w:t>
            </w:r>
          </w:p>
          <w:p w14:paraId="6648401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5、成品：符合QB/T2280-2016《办公家具 办公椅》的相关标准和技术要求。</w:t>
            </w:r>
          </w:p>
        </w:tc>
        <w:tc>
          <w:tcPr>
            <w:tcW w:w="1932" w:type="dxa"/>
            <w:shd w:val="clear" w:color="auto" w:fill="auto"/>
            <w:vAlign w:val="center"/>
          </w:tcPr>
          <w:p w14:paraId="7CD017E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B0DC552" wp14:editId="4A579AA1">
                  <wp:extent cx="1079500" cy="690880"/>
                  <wp:effectExtent l="0" t="0" r="6350" b="0"/>
                  <wp:docPr id="18436322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2280" name="图片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079500" cy="690880"/>
                          </a:xfrm>
                          <a:prstGeom prst="rect">
                            <a:avLst/>
                          </a:prstGeom>
                          <a:noFill/>
                          <a:ln>
                            <a:noFill/>
                          </a:ln>
                        </pic:spPr>
                      </pic:pic>
                    </a:graphicData>
                  </a:graphic>
                </wp:inline>
              </w:drawing>
            </w:r>
          </w:p>
        </w:tc>
      </w:tr>
      <w:tr w:rsidR="00290B98" w14:paraId="1C4CF965" w14:textId="77777777" w:rsidTr="00A7341B">
        <w:trPr>
          <w:trHeight w:val="2880"/>
        </w:trPr>
        <w:tc>
          <w:tcPr>
            <w:tcW w:w="656" w:type="dxa"/>
            <w:shd w:val="clear" w:color="auto" w:fill="auto"/>
            <w:vAlign w:val="center"/>
          </w:tcPr>
          <w:p w14:paraId="0191F84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20</w:t>
            </w:r>
          </w:p>
        </w:tc>
        <w:tc>
          <w:tcPr>
            <w:tcW w:w="1065" w:type="dxa"/>
            <w:shd w:val="clear" w:color="auto" w:fill="auto"/>
            <w:vAlign w:val="center"/>
          </w:tcPr>
          <w:p w14:paraId="57EF329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折叠会议椅</w:t>
            </w:r>
          </w:p>
        </w:tc>
        <w:tc>
          <w:tcPr>
            <w:tcW w:w="1710" w:type="dxa"/>
            <w:shd w:val="clear" w:color="auto" w:fill="auto"/>
            <w:vAlign w:val="center"/>
          </w:tcPr>
          <w:p w14:paraId="0E754A9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450*480*850mm</w:t>
            </w:r>
          </w:p>
        </w:tc>
        <w:tc>
          <w:tcPr>
            <w:tcW w:w="735" w:type="dxa"/>
            <w:shd w:val="clear" w:color="auto" w:fill="auto"/>
            <w:vAlign w:val="center"/>
          </w:tcPr>
          <w:p w14:paraId="44BB3F79" w14:textId="69E41859" w:rsidR="00290B98" w:rsidRDefault="00344EF7">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7</w:t>
            </w:r>
            <w:r w:rsidR="00CF5C43">
              <w:rPr>
                <w:rFonts w:ascii="宋体" w:eastAsia="宋体" w:hAnsi="宋体" w:cs="宋体" w:hint="eastAsia"/>
                <w:color w:val="000000"/>
                <w:kern w:val="0"/>
                <w:sz w:val="20"/>
                <w:szCs w:val="20"/>
              </w:rPr>
              <w:t>5</w:t>
            </w:r>
          </w:p>
        </w:tc>
        <w:tc>
          <w:tcPr>
            <w:tcW w:w="600" w:type="dxa"/>
            <w:shd w:val="clear" w:color="auto" w:fill="auto"/>
            <w:vAlign w:val="center"/>
          </w:tcPr>
          <w:p w14:paraId="5E7EDCC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43E86D46"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料：座面采用细麻绒面料，符合GB/T17593.1-2006纺织品重金属的测定要求：可分解致癌芳香胺染料未检出，游离甲醛含量≤20mg/kg，重金属含量铅、镉未检出；椅背面料：采用网布，可分解致癌芳香胺染料和重金属含量铅、镉未检出限值，游离甲醛含量≤20mg/kg。　　　　　　　　　　　　　                               　　　　　　　　                                                                                         　2、椅座基材：采用实木多层曲木板，甲醛释放量≤0.5mg/L。                                                                                                                                3、椅座海绵：采用PU阻燃海绵，检验依据包含：HJ 2547-2016、GB/T 2408-2021的相关标准和要求，检测项包含：密度≥50kg/m³,75%压缩永久变形≤5%，回弹力≥55%，撕裂强度≥4.0N/cm，拉伸强度≥120KPa，伸长率≥125%，游离甲醛≤20mg/kg，可迁移元素铅、镉、铬、汞、锑、钡、硒、砷未检出，阻燃性能通过香烟抗引燃特性试验：无续燃和阴燃现象。</w:t>
            </w:r>
          </w:p>
          <w:p w14:paraId="46B4EBFF"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4、会议椅成品：符合QB/T2280-2016《办公家具 办公椅》的相关标准和技术要求。</w:t>
            </w:r>
          </w:p>
          <w:p w14:paraId="25CE801D"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5、配置:可收折,钢管厚度≥1.2mm，座板内板厚度≥12mm。</w:t>
            </w:r>
          </w:p>
        </w:tc>
        <w:tc>
          <w:tcPr>
            <w:tcW w:w="1932" w:type="dxa"/>
            <w:shd w:val="clear" w:color="auto" w:fill="auto"/>
            <w:noWrap/>
            <w:vAlign w:val="center"/>
          </w:tcPr>
          <w:p w14:paraId="7E159047" w14:textId="77777777" w:rsidR="00290B98" w:rsidRDefault="00CF5C43">
            <w:pPr>
              <w:widowControl/>
              <w:jc w:val="center"/>
              <w:rPr>
                <w:rFonts w:ascii="宋体" w:eastAsia="宋体" w:hAnsi="宋体" w:cs="宋体"/>
                <w:color w:val="000000"/>
                <w:kern w:val="0"/>
                <w:sz w:val="22"/>
              </w:rPr>
            </w:pPr>
            <w:r>
              <w:rPr>
                <w:rFonts w:ascii="宋体" w:eastAsia="宋体" w:hAnsi="宋体" w:cs="宋体" w:hint="eastAsia"/>
                <w:noProof/>
                <w:color w:val="000000"/>
                <w:kern w:val="0"/>
                <w:sz w:val="22"/>
              </w:rPr>
              <w:drawing>
                <wp:inline distT="0" distB="0" distL="0" distR="0" wp14:anchorId="1DD3E30A" wp14:editId="64B9B439">
                  <wp:extent cx="1089660" cy="904875"/>
                  <wp:effectExtent l="0" t="0" r="0" b="9525"/>
                  <wp:docPr id="12520187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18736" name="图片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089660" cy="904875"/>
                          </a:xfrm>
                          <a:prstGeom prst="rect">
                            <a:avLst/>
                          </a:prstGeom>
                          <a:noFill/>
                          <a:ln>
                            <a:noFill/>
                          </a:ln>
                        </pic:spPr>
                      </pic:pic>
                    </a:graphicData>
                  </a:graphic>
                </wp:inline>
              </w:drawing>
            </w:r>
          </w:p>
        </w:tc>
      </w:tr>
      <w:tr w:rsidR="00290B98" w14:paraId="5FAF5825" w14:textId="77777777" w:rsidTr="00A7341B">
        <w:trPr>
          <w:trHeight w:val="2200"/>
        </w:trPr>
        <w:tc>
          <w:tcPr>
            <w:tcW w:w="656" w:type="dxa"/>
            <w:shd w:val="clear" w:color="auto" w:fill="auto"/>
            <w:vAlign w:val="center"/>
          </w:tcPr>
          <w:p w14:paraId="5008461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21</w:t>
            </w:r>
          </w:p>
        </w:tc>
        <w:tc>
          <w:tcPr>
            <w:tcW w:w="1065" w:type="dxa"/>
            <w:shd w:val="clear" w:color="auto" w:fill="auto"/>
            <w:vAlign w:val="center"/>
          </w:tcPr>
          <w:p w14:paraId="68750B1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单人沙发</w:t>
            </w:r>
          </w:p>
        </w:tc>
        <w:tc>
          <w:tcPr>
            <w:tcW w:w="1710" w:type="dxa"/>
            <w:shd w:val="clear" w:color="auto" w:fill="auto"/>
            <w:vAlign w:val="center"/>
          </w:tcPr>
          <w:p w14:paraId="6D37301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1100*850*830mm</w:t>
            </w:r>
          </w:p>
        </w:tc>
        <w:tc>
          <w:tcPr>
            <w:tcW w:w="735" w:type="dxa"/>
            <w:shd w:val="clear" w:color="auto" w:fill="auto"/>
            <w:vAlign w:val="center"/>
          </w:tcPr>
          <w:p w14:paraId="793BFDA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w:t>
            </w:r>
          </w:p>
        </w:tc>
        <w:tc>
          <w:tcPr>
            <w:tcW w:w="600" w:type="dxa"/>
            <w:shd w:val="clear" w:color="auto" w:fill="auto"/>
            <w:vAlign w:val="center"/>
          </w:tcPr>
          <w:p w14:paraId="0D7EC4B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vMerge w:val="restart"/>
            <w:shd w:val="clear" w:color="auto" w:fill="auto"/>
            <w:vAlign w:val="center"/>
          </w:tcPr>
          <w:p w14:paraId="534D5A4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1、面材牛皮：游离甲醛未检出；可萃取重金属（铅、镉）未检出；五氯苯酚未检出；可分解致癌芳香胺 染料未检出；摩擦色牢度（干擦、湿擦、碱性汗液）均检测合格 ；耐光性、涂层粘着牢度 、耐折牢度、耐磨性均检测合格；撕裂力、气味、PH、PH稀释差均检测合格；挥发性有机物（VOC）未检出；全张革应厚薄基本均匀，无油腻感(油蜡革除外)；革身应平整、柔软、丰满有弹性；正面革应不裂面、无管皱，主要部位不得松面。涂饰革涂饰均匀，不掉浆不裂浆。绒面革绒毛均匀，颜色基本一致；六价铬未检出。</w:t>
            </w:r>
          </w:p>
          <w:p w14:paraId="598C24D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海绵：游离甲醛未检出；表观密度偏差、外观、40%压陷硬度偏差、回弹率、75%压缩永久变形、65%/25%压陷比、气味等级、恒定负荷反复压陷疲劳后的40%压陷硬度损失值（P）、断裂伸长率、干热老化后拉伸强度及变化率、湿热老化后拉伸强度及变化率、灰分、甲醛散发、25%压陷硬度、40%压陷硬度、表观密度（座面）均检测合格；抗菌性能-抑菌率≥99%。</w:t>
            </w:r>
          </w:p>
          <w:p w14:paraId="706D180D" w14:textId="6CD525DB"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▲3、沙发弹簧：φ≥3mm，间距20-40mm之间分部。符合GB/T10125-2021《人造气氛腐蚀试验 盐雾试验》/GB/T 6461-2002《金属基体上金属和其他无机覆盖层经腐蚀试验后的试样和试件的评级》的标准，中性盐雾试验、铜加速乙酸盐雾试</w:t>
            </w:r>
            <w:r>
              <w:rPr>
                <w:rFonts w:ascii="宋体" w:eastAsia="宋体" w:hAnsi="宋体" w:cs="宋体" w:hint="eastAsia"/>
                <w:color w:val="000000"/>
                <w:kern w:val="0"/>
                <w:sz w:val="20"/>
                <w:szCs w:val="20"/>
              </w:rPr>
              <w:lastRenderedPageBreak/>
              <w:t>验以及乙酸盐雾试验耐腐蚀等级均≥9级；弹簧电镀处理，金属电镀件无锈蚀、无毛刺。（</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2440986B"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沙发成品质量要求：甲醛释放量＜0.03mg/m³；座面表观密度、回弹性能、压缩永久变形均检测合格；表面涂层理化性能木制件漆膜涂层（附着力、耐磨性、抗冲击、耐冷热温差）检测合格；覆面材料理化性能皮革（摩擦色牢度：湿摩擦、干摩擦、耐磨性、人造汗液）检测合格；结构安全性、沙发座背及扶手耐久性检测合格；符合QB/T 1952.1-2023标准。</w:t>
            </w:r>
          </w:p>
          <w:p w14:paraId="5D2417B6"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5、脚架底部配置脚垫可防止划伤地板、防止摩擦发生异响。</w:t>
            </w:r>
          </w:p>
        </w:tc>
        <w:tc>
          <w:tcPr>
            <w:tcW w:w="1932" w:type="dxa"/>
            <w:shd w:val="clear" w:color="auto" w:fill="auto"/>
            <w:vAlign w:val="center"/>
          </w:tcPr>
          <w:p w14:paraId="4CAE8EF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4343D463" wp14:editId="1C37A01A">
                  <wp:extent cx="1089660" cy="700405"/>
                  <wp:effectExtent l="0" t="0" r="0" b="4445"/>
                  <wp:docPr id="17240542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54297" name="图片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089660" cy="700405"/>
                          </a:xfrm>
                          <a:prstGeom prst="rect">
                            <a:avLst/>
                          </a:prstGeom>
                          <a:noFill/>
                          <a:ln>
                            <a:noFill/>
                          </a:ln>
                        </pic:spPr>
                      </pic:pic>
                    </a:graphicData>
                  </a:graphic>
                </wp:inline>
              </w:drawing>
            </w:r>
          </w:p>
        </w:tc>
      </w:tr>
      <w:tr w:rsidR="00290B98" w14:paraId="2BD71964" w14:textId="77777777" w:rsidTr="00A7341B">
        <w:trPr>
          <w:trHeight w:val="2200"/>
        </w:trPr>
        <w:tc>
          <w:tcPr>
            <w:tcW w:w="656" w:type="dxa"/>
            <w:shd w:val="clear" w:color="auto" w:fill="auto"/>
            <w:vAlign w:val="center"/>
          </w:tcPr>
          <w:p w14:paraId="64D5690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22</w:t>
            </w:r>
          </w:p>
        </w:tc>
        <w:tc>
          <w:tcPr>
            <w:tcW w:w="1065" w:type="dxa"/>
            <w:shd w:val="clear" w:color="auto" w:fill="auto"/>
            <w:vAlign w:val="center"/>
          </w:tcPr>
          <w:p w14:paraId="6A2BB086"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三人沙发</w:t>
            </w:r>
          </w:p>
        </w:tc>
        <w:tc>
          <w:tcPr>
            <w:tcW w:w="1710" w:type="dxa"/>
            <w:shd w:val="clear" w:color="auto" w:fill="auto"/>
            <w:vAlign w:val="center"/>
          </w:tcPr>
          <w:p w14:paraId="291FE33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2100*850*830mm</w:t>
            </w:r>
          </w:p>
        </w:tc>
        <w:tc>
          <w:tcPr>
            <w:tcW w:w="735" w:type="dxa"/>
            <w:shd w:val="clear" w:color="auto" w:fill="auto"/>
            <w:vAlign w:val="center"/>
          </w:tcPr>
          <w:p w14:paraId="475D7DD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w:t>
            </w:r>
          </w:p>
        </w:tc>
        <w:tc>
          <w:tcPr>
            <w:tcW w:w="600" w:type="dxa"/>
            <w:shd w:val="clear" w:color="auto" w:fill="auto"/>
            <w:vAlign w:val="center"/>
          </w:tcPr>
          <w:p w14:paraId="68B1836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vMerge/>
            <w:vAlign w:val="center"/>
          </w:tcPr>
          <w:p w14:paraId="7D0B38F8" w14:textId="77777777" w:rsidR="00290B98" w:rsidRDefault="00290B98">
            <w:pPr>
              <w:widowControl/>
              <w:jc w:val="left"/>
              <w:rPr>
                <w:rFonts w:ascii="宋体" w:eastAsia="宋体" w:hAnsi="宋体" w:cs="宋体"/>
                <w:color w:val="000000"/>
                <w:kern w:val="0"/>
                <w:sz w:val="20"/>
                <w:szCs w:val="20"/>
              </w:rPr>
            </w:pPr>
          </w:p>
        </w:tc>
        <w:tc>
          <w:tcPr>
            <w:tcW w:w="1932" w:type="dxa"/>
            <w:shd w:val="clear" w:color="auto" w:fill="auto"/>
            <w:vAlign w:val="center"/>
          </w:tcPr>
          <w:p w14:paraId="32957C8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D05B986" wp14:editId="7FAB065E">
                  <wp:extent cx="1089660" cy="564515"/>
                  <wp:effectExtent l="0" t="0" r="0" b="6985"/>
                  <wp:docPr id="1220700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00109" name="图片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089660" cy="564515"/>
                          </a:xfrm>
                          <a:prstGeom prst="rect">
                            <a:avLst/>
                          </a:prstGeom>
                          <a:noFill/>
                          <a:ln>
                            <a:noFill/>
                          </a:ln>
                        </pic:spPr>
                      </pic:pic>
                    </a:graphicData>
                  </a:graphic>
                </wp:inline>
              </w:drawing>
            </w:r>
          </w:p>
        </w:tc>
      </w:tr>
      <w:tr w:rsidR="00290B98" w14:paraId="7884B68B" w14:textId="77777777" w:rsidTr="00A7341B">
        <w:trPr>
          <w:trHeight w:val="4605"/>
        </w:trPr>
        <w:tc>
          <w:tcPr>
            <w:tcW w:w="656" w:type="dxa"/>
            <w:shd w:val="clear" w:color="auto" w:fill="auto"/>
            <w:vAlign w:val="center"/>
          </w:tcPr>
          <w:p w14:paraId="75F5DCB4"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23</w:t>
            </w:r>
          </w:p>
        </w:tc>
        <w:tc>
          <w:tcPr>
            <w:tcW w:w="1065" w:type="dxa"/>
            <w:shd w:val="clear" w:color="auto" w:fill="auto"/>
            <w:vAlign w:val="center"/>
          </w:tcPr>
          <w:p w14:paraId="7420DB4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文件柜</w:t>
            </w:r>
          </w:p>
        </w:tc>
        <w:tc>
          <w:tcPr>
            <w:tcW w:w="1710" w:type="dxa"/>
            <w:shd w:val="clear" w:color="auto" w:fill="auto"/>
            <w:vAlign w:val="center"/>
          </w:tcPr>
          <w:p w14:paraId="2B881BD0" w14:textId="77777777" w:rsidR="00290B98" w:rsidRDefault="00CF5C43">
            <w:pPr>
              <w:widowControl/>
              <w:jc w:val="center"/>
              <w:rPr>
                <w:rFonts w:ascii="Arial" w:eastAsia="宋体" w:hAnsi="Arial" w:cs="Arial"/>
                <w:color w:val="000000"/>
                <w:kern w:val="0"/>
                <w:sz w:val="20"/>
                <w:szCs w:val="20"/>
              </w:rPr>
            </w:pPr>
            <w:r>
              <w:rPr>
                <w:rFonts w:ascii="宋体" w:eastAsia="宋体" w:hAnsi="宋体" w:cs="宋体" w:hint="eastAsia"/>
                <w:color w:val="000000"/>
                <w:kern w:val="0"/>
                <w:sz w:val="20"/>
                <w:szCs w:val="20"/>
              </w:rPr>
              <w:t>850*400*1800mm</w:t>
            </w:r>
          </w:p>
        </w:tc>
        <w:tc>
          <w:tcPr>
            <w:tcW w:w="735" w:type="dxa"/>
            <w:shd w:val="clear" w:color="auto" w:fill="auto"/>
            <w:vAlign w:val="center"/>
          </w:tcPr>
          <w:p w14:paraId="1F9FD44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62</w:t>
            </w:r>
          </w:p>
        </w:tc>
        <w:tc>
          <w:tcPr>
            <w:tcW w:w="600" w:type="dxa"/>
            <w:shd w:val="clear" w:color="auto" w:fill="auto"/>
            <w:vAlign w:val="center"/>
          </w:tcPr>
          <w:p w14:paraId="519E855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496E88F7" w14:textId="481A3F8A"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基材：钢板、厚度≥0.6mm，金属件喷漆（塑）涂层应无漏喷、锈蚀、脱色、掉色等，应光滑均匀，色泽一致，应无流挂、疙瘩、皱皮、飞漆等；硬度、冲击强度均检测合格，附着力≥1级；金属喷涂层理化性能：涂层厚度60-130μm；≥240h中性盐雾试验后进行性能评级(保护评级Rp和外观评级RA均≥9级)；符合GB/T3325-2024《金属家具通用技术条件》、GB/T 10125-2021 《人造气氛腐蚀试验盐雾试验》、GB/T 6461-2002《金属基体上金属和其它无机覆盖层经腐蚀试验后的试样和试件的评级》、QB/T4767-2014《家具用钢构件》标准。（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p w14:paraId="30893935"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2、锁具：锁具符合QB/T 1621-2015《家具锁》的标准，锁的牢固度：锁头使用寿命不少于2万次，锁头固定连接200N静拉力后无松动，锁舌侧向200N静载荷能正常使用；锁具中性盐雾试验和铜加速乙酸盐雾试验均≥9级。                                                                                                   3、抽屉滑轨：金属件涂层无锈蚀、脱色、掉色，表面光滑均匀无流挂、疙瘩、皱皮、无飞漆；符合QB/T 2454-2013《家具五金 抽屉导轨》的标准，导轨拉出安全性、耐久性、组件结构强度、水平侧向静载荷、猛开/猛关、垂直向下静载荷均符合或达到合格。                                                                                                 4、配置：内置隔板1层，抽屉2个，配防潮脚垫。                                                                     5、成品：符合QB/T 1097—2010《钢制文件柜》的标准和要求。</w:t>
            </w:r>
          </w:p>
        </w:tc>
        <w:tc>
          <w:tcPr>
            <w:tcW w:w="1932" w:type="dxa"/>
            <w:shd w:val="clear" w:color="auto" w:fill="auto"/>
            <w:vAlign w:val="center"/>
          </w:tcPr>
          <w:p w14:paraId="1B64790D" w14:textId="77777777" w:rsidR="00290B98" w:rsidRDefault="00CF5C43">
            <w:pPr>
              <w:widowControl/>
              <w:jc w:val="center"/>
              <w:rPr>
                <w:rFonts w:ascii="Arial" w:eastAsia="宋体" w:hAnsi="Arial" w:cs="Arial"/>
                <w:color w:val="000000"/>
                <w:kern w:val="0"/>
                <w:sz w:val="20"/>
                <w:szCs w:val="20"/>
              </w:rPr>
            </w:pPr>
            <w:r>
              <w:rPr>
                <w:rFonts w:ascii="Arial" w:eastAsia="宋体" w:hAnsi="Arial" w:cs="Arial"/>
                <w:noProof/>
                <w:color w:val="000000"/>
                <w:kern w:val="0"/>
                <w:sz w:val="20"/>
                <w:szCs w:val="20"/>
              </w:rPr>
              <w:drawing>
                <wp:inline distT="0" distB="0" distL="0" distR="0" wp14:anchorId="5F20494B" wp14:editId="74A8B9E7">
                  <wp:extent cx="1079500" cy="1459230"/>
                  <wp:effectExtent l="0" t="0" r="6350" b="7620"/>
                  <wp:docPr id="13897270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27003" name="图片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079500" cy="1459230"/>
                          </a:xfrm>
                          <a:prstGeom prst="rect">
                            <a:avLst/>
                          </a:prstGeom>
                          <a:noFill/>
                          <a:ln>
                            <a:noFill/>
                          </a:ln>
                        </pic:spPr>
                      </pic:pic>
                    </a:graphicData>
                  </a:graphic>
                </wp:inline>
              </w:drawing>
            </w:r>
          </w:p>
        </w:tc>
      </w:tr>
      <w:tr w:rsidR="00290B98" w14:paraId="0930E4CB" w14:textId="77777777" w:rsidTr="00A7341B">
        <w:trPr>
          <w:trHeight w:val="3840"/>
        </w:trPr>
        <w:tc>
          <w:tcPr>
            <w:tcW w:w="656" w:type="dxa"/>
            <w:shd w:val="clear" w:color="auto" w:fill="auto"/>
            <w:vAlign w:val="center"/>
          </w:tcPr>
          <w:p w14:paraId="165BF60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24</w:t>
            </w:r>
          </w:p>
        </w:tc>
        <w:tc>
          <w:tcPr>
            <w:tcW w:w="1065" w:type="dxa"/>
            <w:shd w:val="clear" w:color="auto" w:fill="auto"/>
            <w:vAlign w:val="center"/>
          </w:tcPr>
          <w:p w14:paraId="60F9091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五节柜</w:t>
            </w:r>
          </w:p>
        </w:tc>
        <w:tc>
          <w:tcPr>
            <w:tcW w:w="1710" w:type="dxa"/>
            <w:shd w:val="clear" w:color="auto" w:fill="auto"/>
            <w:vAlign w:val="center"/>
          </w:tcPr>
          <w:p w14:paraId="4CDE557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950*400*2150mm</w:t>
            </w:r>
          </w:p>
        </w:tc>
        <w:tc>
          <w:tcPr>
            <w:tcW w:w="735" w:type="dxa"/>
            <w:shd w:val="clear" w:color="auto" w:fill="auto"/>
            <w:vAlign w:val="center"/>
          </w:tcPr>
          <w:p w14:paraId="088203E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29</w:t>
            </w:r>
          </w:p>
        </w:tc>
        <w:tc>
          <w:tcPr>
            <w:tcW w:w="600" w:type="dxa"/>
            <w:shd w:val="clear" w:color="auto" w:fill="auto"/>
            <w:vAlign w:val="center"/>
          </w:tcPr>
          <w:p w14:paraId="7EDCCC4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77956FF8"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基材：钢板、厚度≥0.6mm，金属件喷漆（塑）涂层应无漏喷、锈蚀、脱色、掉色等，应光滑均匀，色泽一致，应无流挂、疙瘩、皱皮、飞漆等；硬度、冲击强度均检测合格，附着力≥1级；金属喷涂层理化性能：涂层厚度60-130μm；≥240h中性盐雾试验后进行性能评级(保护评级Rp和外观评级RA均≥9级)；符合GB/T3325-2024《金属家具通用技术条件》、GB/T 10125-2021 《人造气氛腐蚀试验盐雾试验》、GB/T 6461-2002《金属基体上金属和其它无机覆盖层经腐蚀试验后的试样和试件的评级》、QB/T4767-2014《家具用钢构件》标准。                                                                               </w:t>
            </w:r>
          </w:p>
          <w:p w14:paraId="3AF57581"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2、锁具：锁具符合QB/T 1621-2015《家具锁》的标准，锁的牢固度：锁头使用寿命不少于2万次，锁头固定连接200N静拉力后无松动，锁舌侧向200N静载荷能正常使用；锁具中性盐雾试验和铜加速乙酸盐雾试验均≥9级。                                                                                                   3、粉末涂料：涂层厚度60-130μm，外观色泽均匀，无异物，呈松散粉末状，涂膜外观正常附着力达到合格。                                                                                                        4、成品：符合QB/T 1097—2010《钢制文件柜》的标准和要求。</w:t>
            </w:r>
          </w:p>
        </w:tc>
        <w:tc>
          <w:tcPr>
            <w:tcW w:w="1932" w:type="dxa"/>
            <w:shd w:val="clear" w:color="auto" w:fill="auto"/>
            <w:vAlign w:val="center"/>
          </w:tcPr>
          <w:p w14:paraId="75A9ABC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07F0D632" wp14:editId="3D55F8A2">
                  <wp:extent cx="963295" cy="1342390"/>
                  <wp:effectExtent l="0" t="0" r="8255" b="0"/>
                  <wp:docPr id="21464438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43851" name="图片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63295" cy="1342390"/>
                          </a:xfrm>
                          <a:prstGeom prst="rect">
                            <a:avLst/>
                          </a:prstGeom>
                          <a:noFill/>
                          <a:ln>
                            <a:noFill/>
                          </a:ln>
                        </pic:spPr>
                      </pic:pic>
                    </a:graphicData>
                  </a:graphic>
                </wp:inline>
              </w:drawing>
            </w:r>
          </w:p>
        </w:tc>
      </w:tr>
      <w:tr w:rsidR="00290B98" w14:paraId="6A2FEEF0" w14:textId="77777777" w:rsidTr="00A7341B">
        <w:trPr>
          <w:trHeight w:val="3600"/>
        </w:trPr>
        <w:tc>
          <w:tcPr>
            <w:tcW w:w="656" w:type="dxa"/>
            <w:shd w:val="clear" w:color="auto" w:fill="auto"/>
            <w:vAlign w:val="center"/>
          </w:tcPr>
          <w:p w14:paraId="33C5E30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25</w:t>
            </w:r>
          </w:p>
        </w:tc>
        <w:tc>
          <w:tcPr>
            <w:tcW w:w="1065" w:type="dxa"/>
            <w:shd w:val="clear" w:color="auto" w:fill="auto"/>
            <w:vAlign w:val="center"/>
          </w:tcPr>
          <w:p w14:paraId="49A3BF5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更衣柜</w:t>
            </w:r>
          </w:p>
        </w:tc>
        <w:tc>
          <w:tcPr>
            <w:tcW w:w="1710" w:type="dxa"/>
            <w:shd w:val="clear" w:color="auto" w:fill="auto"/>
            <w:vAlign w:val="center"/>
          </w:tcPr>
          <w:p w14:paraId="29EF413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900*420*1800mm</w:t>
            </w:r>
          </w:p>
        </w:tc>
        <w:tc>
          <w:tcPr>
            <w:tcW w:w="735" w:type="dxa"/>
            <w:shd w:val="clear" w:color="auto" w:fill="auto"/>
            <w:vAlign w:val="center"/>
          </w:tcPr>
          <w:p w14:paraId="5AA6D7E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30</w:t>
            </w:r>
          </w:p>
        </w:tc>
        <w:tc>
          <w:tcPr>
            <w:tcW w:w="600" w:type="dxa"/>
            <w:shd w:val="clear" w:color="auto" w:fill="auto"/>
            <w:vAlign w:val="center"/>
          </w:tcPr>
          <w:p w14:paraId="4DB61788"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5DB188FB"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基材：钢板、厚度≥0.6mm，金属件喷漆（塑）涂层应无漏喷、锈蚀、脱色、掉色等，应光滑均匀，色泽一致，应无流挂、疙瘩、皱皮、飞漆等；硬度、冲击强度均检测合格，附着力≥1级；金属喷涂层理化性能：涂层厚度60-130μm；≥240h中性盐雾试验后进行性能评级(保护评级Rp和外观评级RA均≥9级)；符合GB/T3325-2024《金属家具通用技术条件》、GB/T 10125-2021 《人造气氛腐蚀试验盐雾试验》、GB/T 6461-2002《金属基体上金属和其它无机覆盖层经腐蚀试验后的试样和试件的评级》、QB/T4767-2014《家具用钢构件》标准。                                                                     </w:t>
            </w:r>
          </w:p>
          <w:p w14:paraId="7EE0F772"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2、锁具：锁具符合QB/T 1621-2015《家具锁》的标准，锁的牢固度：锁头使用寿命不少于2万次，锁头固定连接200N静拉力后无松动，锁舌侧向200N静载荷能正常使用；锁具中性盐雾试验和铜加速乙酸盐雾试验均≥9级。                                                                                                   3、粉末涂料：涂层厚度60-130μm，外观色泽均匀，无异物，呈松散粉末状，涂膜外观正常附着力达到合格。                                                                                                 4、配置：内置挂衣杆，配防潮脚垫。</w:t>
            </w:r>
          </w:p>
        </w:tc>
        <w:tc>
          <w:tcPr>
            <w:tcW w:w="1932" w:type="dxa"/>
            <w:shd w:val="clear" w:color="auto" w:fill="auto"/>
            <w:vAlign w:val="center"/>
          </w:tcPr>
          <w:p w14:paraId="1781D0B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63028BC" wp14:editId="20976B85">
                  <wp:extent cx="885190" cy="1283970"/>
                  <wp:effectExtent l="0" t="0" r="0" b="0"/>
                  <wp:docPr id="10126727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72764" name="图片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85190" cy="1283970"/>
                          </a:xfrm>
                          <a:prstGeom prst="rect">
                            <a:avLst/>
                          </a:prstGeom>
                          <a:noFill/>
                          <a:ln>
                            <a:noFill/>
                          </a:ln>
                        </pic:spPr>
                      </pic:pic>
                    </a:graphicData>
                  </a:graphic>
                </wp:inline>
              </w:drawing>
            </w:r>
          </w:p>
        </w:tc>
      </w:tr>
      <w:tr w:rsidR="00290B98" w14:paraId="30EB2EB9" w14:textId="77777777" w:rsidTr="00A7341B">
        <w:trPr>
          <w:trHeight w:val="3600"/>
        </w:trPr>
        <w:tc>
          <w:tcPr>
            <w:tcW w:w="656" w:type="dxa"/>
            <w:shd w:val="clear" w:color="auto" w:fill="auto"/>
            <w:vAlign w:val="center"/>
          </w:tcPr>
          <w:p w14:paraId="4BEE68D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26</w:t>
            </w:r>
          </w:p>
        </w:tc>
        <w:tc>
          <w:tcPr>
            <w:tcW w:w="1065" w:type="dxa"/>
            <w:shd w:val="clear" w:color="auto" w:fill="auto"/>
            <w:vAlign w:val="center"/>
          </w:tcPr>
          <w:p w14:paraId="14380EE4"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保密柜</w:t>
            </w:r>
          </w:p>
        </w:tc>
        <w:tc>
          <w:tcPr>
            <w:tcW w:w="1710" w:type="dxa"/>
            <w:shd w:val="clear" w:color="auto" w:fill="auto"/>
            <w:vAlign w:val="center"/>
          </w:tcPr>
          <w:p w14:paraId="45A0090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900*400*1800mm</w:t>
            </w:r>
          </w:p>
        </w:tc>
        <w:tc>
          <w:tcPr>
            <w:tcW w:w="735" w:type="dxa"/>
            <w:shd w:val="clear" w:color="auto" w:fill="auto"/>
            <w:vAlign w:val="center"/>
          </w:tcPr>
          <w:p w14:paraId="2788623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362B87D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3F06B94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1、基材：采用钢板，厚度≥0.8mm，中性盐雾试验、铜加速乙酸盐雾试验以及乙酸盐雾试验耐腐蚀等级均≥9级；钢板的化学成分：Si≤0.35%、 C≤0.2%、Mn≤1.4%、P≤0.035%、S≤0.035%，符合GB/T 11253-2019《碳素结构钢冷轧钢板及钢带》的标准；可迁移元素符合HJ2547-2016《环境标志产品技术要求 家具》的标准；拉伸试验：抗拉强度Rm370-500MPa，塑性延伸强度Rpo.2≥240MPa，断后伸长率A≥35%。                                                                              </w:t>
            </w:r>
          </w:p>
          <w:p w14:paraId="7FFF2D96"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2、密码锁：锁符合QB/T 1621-2015《家具锁》的标准，锁的牢固度：锁头使用寿命不少于2万次，锁头固定连接200N静拉力后无松动，锁舌侧向260N静载荷能正常使用；锁具中性盐雾试验和铜加速乙酸盐雾试验均≥9级。                                                                                                  3、粉末涂料：涂层厚度60-130μm，外观色泽均匀，无异物，呈松散粉末状，涂膜外观正常附着力达到合格                                                                                              4、配置：内置隔板1层，配防潮脚垫。</w:t>
            </w:r>
          </w:p>
        </w:tc>
        <w:tc>
          <w:tcPr>
            <w:tcW w:w="1932" w:type="dxa"/>
            <w:shd w:val="clear" w:color="auto" w:fill="auto"/>
            <w:vAlign w:val="center"/>
          </w:tcPr>
          <w:p w14:paraId="7B84CE4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6C04A222" wp14:editId="08CCE3DF">
                  <wp:extent cx="797560" cy="1342390"/>
                  <wp:effectExtent l="0" t="0" r="2540" b="0"/>
                  <wp:docPr id="19481830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83043" name="图片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797560" cy="1342390"/>
                          </a:xfrm>
                          <a:prstGeom prst="rect">
                            <a:avLst/>
                          </a:prstGeom>
                          <a:noFill/>
                          <a:ln>
                            <a:noFill/>
                          </a:ln>
                        </pic:spPr>
                      </pic:pic>
                    </a:graphicData>
                  </a:graphic>
                </wp:inline>
              </w:drawing>
            </w:r>
          </w:p>
        </w:tc>
      </w:tr>
      <w:tr w:rsidR="00290B98" w14:paraId="106A1E3A" w14:textId="77777777" w:rsidTr="00A7341B">
        <w:trPr>
          <w:trHeight w:val="355"/>
        </w:trPr>
        <w:tc>
          <w:tcPr>
            <w:tcW w:w="656" w:type="dxa"/>
            <w:shd w:val="clear" w:color="auto" w:fill="auto"/>
            <w:vAlign w:val="center"/>
          </w:tcPr>
          <w:p w14:paraId="496C457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27</w:t>
            </w:r>
          </w:p>
        </w:tc>
        <w:tc>
          <w:tcPr>
            <w:tcW w:w="1065" w:type="dxa"/>
            <w:shd w:val="clear" w:color="auto" w:fill="auto"/>
            <w:vAlign w:val="center"/>
          </w:tcPr>
          <w:p w14:paraId="59B1293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茶水柜</w:t>
            </w:r>
          </w:p>
        </w:tc>
        <w:tc>
          <w:tcPr>
            <w:tcW w:w="1710" w:type="dxa"/>
            <w:shd w:val="clear" w:color="auto" w:fill="auto"/>
            <w:vAlign w:val="center"/>
          </w:tcPr>
          <w:p w14:paraId="7C87E88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800*400*820mm</w:t>
            </w:r>
          </w:p>
        </w:tc>
        <w:tc>
          <w:tcPr>
            <w:tcW w:w="735" w:type="dxa"/>
            <w:shd w:val="clear" w:color="auto" w:fill="auto"/>
            <w:vAlign w:val="center"/>
          </w:tcPr>
          <w:p w14:paraId="04F0FF1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2C7763C9"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shd w:val="clear" w:color="auto" w:fill="auto"/>
            <w:vAlign w:val="center"/>
          </w:tcPr>
          <w:p w14:paraId="7B3BD99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基材：采用中密度纤维板，厚度≥16mm，甲醛释放量≤0.05mg/m³；板材的含水率、密度、吸水厚度膨胀率、握螺钉力、静曲强度、弹性模量、内胶合强度以及防潮性能均符合或达到合格，板材不准许出现分层、鼓泡并符合GB/T11718-2021《中密度纤维板》的标准；板材的燃烧性能B1(B)级均符合或达到合格。    </w:t>
            </w:r>
          </w:p>
          <w:p w14:paraId="4217E301"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2、贴面：木皮，符合GB/T 13010-2020《木材工业用单板》的标准；木皮不含甲醛，含水率6%～14%，刨切单板和锯切单板符合质量要求。</w:t>
            </w:r>
          </w:p>
          <w:p w14:paraId="296C7328"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3、胶粘剂：采用白乳胶或MDI胶。胶水中VOC含量限量、游离甲醛、苯、甲苯、二甲苯均未检出。 </w:t>
            </w:r>
          </w:p>
          <w:p w14:paraId="408A9E8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水性面漆：有害物质:甲醛、可溶性有害元素含量、挥发性有机化合物的含量（VOC）均符合或达到合格；漆的细度≤35μm，水性面漆的漆膜外观、耐冻融性、耐划伤性、耐水性、耐碱性、耐醇性、耐污染性、耐黄变性均符合或达到合格。</w:t>
            </w:r>
          </w:p>
          <w:p w14:paraId="20F1329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5、连接五金：采用三合一连接件连接，金属件涂层无锈蚀、脱色、掉色，表面光滑均匀无流挂、疙瘩、皱皮、飞漆，并符合GB/T3325-2024《金属家具通用技术条件》的标准；中性盐雾试验、铜加速乙酸盐雾试验以及乙酸盐雾试验耐腐蚀等级均≥9级。                                                                     </w:t>
            </w:r>
            <w:r>
              <w:rPr>
                <w:rFonts w:ascii="宋体" w:eastAsia="宋体" w:hAnsi="宋体" w:cs="宋体" w:hint="eastAsia"/>
                <w:color w:val="000000"/>
                <w:kern w:val="0"/>
                <w:sz w:val="20"/>
                <w:szCs w:val="20"/>
              </w:rPr>
              <w:lastRenderedPageBreak/>
              <w:t xml:space="preserve">6、成品质量要求：茶水柜金属件中性盐雾试验以及茶水柜金属件乙酸盐雾试验后，耐腐蚀等级≥9级，其保护评级（Rp）≥9级，甲醛释放量≤0.05mg/m³。   </w:t>
            </w:r>
          </w:p>
        </w:tc>
        <w:tc>
          <w:tcPr>
            <w:tcW w:w="1932" w:type="dxa"/>
            <w:shd w:val="clear" w:color="auto" w:fill="auto"/>
            <w:vAlign w:val="center"/>
          </w:tcPr>
          <w:p w14:paraId="602F44A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374E9CAE" wp14:editId="5DDDA1AA">
                  <wp:extent cx="1089660" cy="875665"/>
                  <wp:effectExtent l="0" t="0" r="0" b="635"/>
                  <wp:docPr id="1528778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7811" name="图片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089660" cy="875665"/>
                          </a:xfrm>
                          <a:prstGeom prst="rect">
                            <a:avLst/>
                          </a:prstGeom>
                          <a:noFill/>
                          <a:ln>
                            <a:noFill/>
                          </a:ln>
                        </pic:spPr>
                      </pic:pic>
                    </a:graphicData>
                  </a:graphic>
                </wp:inline>
              </w:drawing>
            </w:r>
          </w:p>
        </w:tc>
      </w:tr>
      <w:tr w:rsidR="00290B98" w14:paraId="6F40C5AF" w14:textId="77777777" w:rsidTr="00A7341B">
        <w:trPr>
          <w:trHeight w:val="246"/>
        </w:trPr>
        <w:tc>
          <w:tcPr>
            <w:tcW w:w="656" w:type="dxa"/>
            <w:shd w:val="clear" w:color="auto" w:fill="auto"/>
            <w:vAlign w:val="center"/>
          </w:tcPr>
          <w:p w14:paraId="52166332"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28</w:t>
            </w:r>
          </w:p>
        </w:tc>
        <w:tc>
          <w:tcPr>
            <w:tcW w:w="1065" w:type="dxa"/>
            <w:shd w:val="clear" w:color="auto" w:fill="auto"/>
            <w:vAlign w:val="center"/>
          </w:tcPr>
          <w:p w14:paraId="3FE863F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折叠椅</w:t>
            </w:r>
          </w:p>
        </w:tc>
        <w:tc>
          <w:tcPr>
            <w:tcW w:w="1710" w:type="dxa"/>
            <w:shd w:val="clear" w:color="auto" w:fill="auto"/>
            <w:vAlign w:val="center"/>
          </w:tcPr>
          <w:p w14:paraId="515086D3"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490*570*900mm</w:t>
            </w:r>
          </w:p>
        </w:tc>
        <w:tc>
          <w:tcPr>
            <w:tcW w:w="735" w:type="dxa"/>
            <w:shd w:val="clear" w:color="auto" w:fill="auto"/>
            <w:vAlign w:val="center"/>
          </w:tcPr>
          <w:p w14:paraId="1951230C"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56</w:t>
            </w:r>
          </w:p>
        </w:tc>
        <w:tc>
          <w:tcPr>
            <w:tcW w:w="600" w:type="dxa"/>
            <w:shd w:val="clear" w:color="auto" w:fill="auto"/>
            <w:vAlign w:val="center"/>
          </w:tcPr>
          <w:p w14:paraId="58BA476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7D51C4D4"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1、网布：甲醛含量未检出；重金属含量（铅、镉）未检出；网布的燃烧性能不少于 B1 级（损毁长度、续燃时间、阴燃时间）检测合格；耐湿摩擦色牢度检测合格；可分解致癌芳香胺染料未检出；邻苯二甲酸酯未检出；多环芳烃未检出。</w:t>
            </w:r>
          </w:p>
          <w:p w14:paraId="44F902B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海绵：游离甲醛未检出；表观密度偏差、外观、40%压陷硬度偏差、回弹率、75%压缩永久变形、65%/25%压陷比、气味等级、恒定负荷反复压陷疲劳后的40%压陷硬度损失值（P）、断裂伸长率、干热老化后拉伸强度及变化率、湿热老化后拉伸强度及变化率、灰分、甲醛散发、25%压陷硬度、40%压陷硬度、表观密度（座面）均检测合格；抗菌性能-抑菌率≥99%。</w:t>
            </w:r>
          </w:p>
          <w:p w14:paraId="1FEABABE"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3、坐板采用多层曲木板：甲醛释放量≤0.05mg/m³；含水率检测合格；胶合强度、板边和板面握螺钉力均检测合格；浸渍剥离、静曲强度（顺纹、横纹）、弹性模量（顺纹、横纹）均检测合格。</w:t>
            </w:r>
          </w:p>
          <w:p w14:paraId="0B0AD9B4" w14:textId="32046A13"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4、配置:可收折,钢管厚度≥1.2mm，座板内板厚度≥12mm。                                                        ▲5、脚垫和塑料背框塑料件：塑料件理化性能符合GB/T 32487-2016《塑料家具通用技术条件》的标准，耐老化性，冲击强度的保持率≥80%，外观颜色变色评级4—5级，冲击强度≥20000J/㎡，拉伸强度≥40MPa；塑料件灰分的测定符合GB/T9345.1-2008的标准，灰分或硫酸化灰分质量≤2%；负荷变形温度的测定，符合GB/T1634.1-2019的标准，符合变形温度≥90°C。（</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tc>
        <w:tc>
          <w:tcPr>
            <w:tcW w:w="1932" w:type="dxa"/>
            <w:shd w:val="clear" w:color="auto" w:fill="auto"/>
            <w:vAlign w:val="center"/>
          </w:tcPr>
          <w:p w14:paraId="3A4E773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A8FEA86" wp14:editId="1E24E282">
                  <wp:extent cx="1089660" cy="1254760"/>
                  <wp:effectExtent l="0" t="0" r="0" b="2540"/>
                  <wp:docPr id="19567876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87679" name="图片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089660" cy="1254760"/>
                          </a:xfrm>
                          <a:prstGeom prst="rect">
                            <a:avLst/>
                          </a:prstGeom>
                          <a:noFill/>
                          <a:ln>
                            <a:noFill/>
                          </a:ln>
                        </pic:spPr>
                      </pic:pic>
                    </a:graphicData>
                  </a:graphic>
                </wp:inline>
              </w:drawing>
            </w:r>
          </w:p>
        </w:tc>
      </w:tr>
      <w:tr w:rsidR="00290B98" w14:paraId="6B8D9B65" w14:textId="77777777" w:rsidTr="00A7341B">
        <w:trPr>
          <w:trHeight w:val="699"/>
        </w:trPr>
        <w:tc>
          <w:tcPr>
            <w:tcW w:w="656" w:type="dxa"/>
            <w:shd w:val="clear" w:color="auto" w:fill="auto"/>
            <w:vAlign w:val="center"/>
          </w:tcPr>
          <w:p w14:paraId="22ECADB5"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29</w:t>
            </w:r>
          </w:p>
        </w:tc>
        <w:tc>
          <w:tcPr>
            <w:tcW w:w="1065" w:type="dxa"/>
            <w:shd w:val="clear" w:color="auto" w:fill="auto"/>
            <w:vAlign w:val="center"/>
          </w:tcPr>
          <w:p w14:paraId="6CD0B837"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宣讲台</w:t>
            </w:r>
          </w:p>
        </w:tc>
        <w:tc>
          <w:tcPr>
            <w:tcW w:w="1710" w:type="dxa"/>
            <w:shd w:val="clear" w:color="auto" w:fill="auto"/>
            <w:vAlign w:val="center"/>
          </w:tcPr>
          <w:p w14:paraId="1E38106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500*700*1170mm</w:t>
            </w:r>
          </w:p>
        </w:tc>
        <w:tc>
          <w:tcPr>
            <w:tcW w:w="735" w:type="dxa"/>
            <w:shd w:val="clear" w:color="auto" w:fill="auto"/>
            <w:vAlign w:val="center"/>
          </w:tcPr>
          <w:p w14:paraId="67DA84D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10</w:t>
            </w:r>
          </w:p>
        </w:tc>
        <w:tc>
          <w:tcPr>
            <w:tcW w:w="600" w:type="dxa"/>
            <w:shd w:val="clear" w:color="auto" w:fill="auto"/>
            <w:vAlign w:val="center"/>
          </w:tcPr>
          <w:p w14:paraId="452790F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19F016B0"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1、面材：采用厚度≥0.8mm的实木皮，甲醛释放量≤0.15mg/L。</w:t>
            </w:r>
          </w:p>
          <w:p w14:paraId="2AA32D10" w14:textId="6E6625AE"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2、胶水：采用粘胶剂或MDI胶。胶水中水基型胶粘剂VOC含量限量、游离甲醛、苯、甲苯、二甲苯均未检出。                                                                                                   ▲3、基材：采用中密度纤维板，厚度≥15mm。板材符合GB/T 11718－2021中密度纤维板、HJ 571-2010环境标志产品技术要求的相关标准和技术要求：甲醛释放量≤0.05mg/m³，密度≥0.6g/cm³，含水率≤10.0%，吸水厚度膨胀率≤6%，静曲强度≥26Mpa，弹性模量≥3400MPa，产品总挥发性有机化合物（TVOC）的释放率</w:t>
            </w:r>
            <w:r>
              <w:rPr>
                <w:rFonts w:ascii="宋体" w:eastAsia="宋体" w:hAnsi="宋体" w:cs="宋体" w:hint="eastAsia"/>
                <w:color w:val="000000"/>
                <w:kern w:val="0"/>
                <w:sz w:val="20"/>
                <w:szCs w:val="20"/>
              </w:rPr>
              <w:lastRenderedPageBreak/>
              <w:t>（72h）≤0.5mg/（m²h）。（</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51049175"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4、水性漆：符合HJ 2537-2014《环境标志产品技术要求 水性涂料》的标准，挥发性有机化合物的含量（VOC）、游离甲醛含量均达到合格；水性漆的漆膜外观、光泽度、附着力、耐黄变性均符合GB/T 23999-2009《室内装饰装修用水性木器涂料》的标准。</w:t>
            </w:r>
          </w:p>
          <w:p w14:paraId="374D1CC2" w14:textId="5FC068B0"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5、连接五金：采用三合一连接件连接，长度≥40，金属件涂层无锈蚀，表面光滑均匀无流挂、飞漆，并符合GB/T3325-2024《金属家具通用技术条件》的标准；三合一连接件偏心体抗压强度≥290N，连接螺杆螺纹与预埋螺母抗拉强度≥700N，连接件偏心体与螺杆的扭矩≥8.0N·m，并符合GB/T 28203-2011《家具连接件技术要求及试验方法》的标准；中性盐雾试验、铜加速乙酸盐雾试验以及乙酸盐雾试验耐腐蚀等级均≥9级。（</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 xml:space="preserve">提供满足本条技术参数要求且带CMA标识的检验检测报告扫描件佐证并加盖投标人公章）  </w:t>
            </w:r>
          </w:p>
        </w:tc>
        <w:tc>
          <w:tcPr>
            <w:tcW w:w="1932" w:type="dxa"/>
            <w:shd w:val="clear" w:color="auto" w:fill="auto"/>
            <w:vAlign w:val="center"/>
          </w:tcPr>
          <w:p w14:paraId="2454FD7E"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0812682D" wp14:editId="45333CBF">
                  <wp:extent cx="972820" cy="1391285"/>
                  <wp:effectExtent l="0" t="0" r="0" b="0"/>
                  <wp:docPr id="10477337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33748" name="图片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972820" cy="1391285"/>
                          </a:xfrm>
                          <a:prstGeom prst="rect">
                            <a:avLst/>
                          </a:prstGeom>
                          <a:noFill/>
                          <a:ln>
                            <a:noFill/>
                          </a:ln>
                        </pic:spPr>
                      </pic:pic>
                    </a:graphicData>
                  </a:graphic>
                </wp:inline>
              </w:drawing>
            </w:r>
          </w:p>
        </w:tc>
      </w:tr>
      <w:tr w:rsidR="00290B98" w14:paraId="2B32487A" w14:textId="77777777" w:rsidTr="00A7341B">
        <w:trPr>
          <w:trHeight w:val="2684"/>
        </w:trPr>
        <w:tc>
          <w:tcPr>
            <w:tcW w:w="656" w:type="dxa"/>
            <w:shd w:val="clear" w:color="auto" w:fill="auto"/>
            <w:vAlign w:val="center"/>
          </w:tcPr>
          <w:p w14:paraId="328F5C9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30</w:t>
            </w:r>
          </w:p>
        </w:tc>
        <w:tc>
          <w:tcPr>
            <w:tcW w:w="1065" w:type="dxa"/>
            <w:shd w:val="clear" w:color="auto" w:fill="auto"/>
            <w:vAlign w:val="center"/>
          </w:tcPr>
          <w:p w14:paraId="40E0D4A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定制6门柜</w:t>
            </w:r>
          </w:p>
        </w:tc>
        <w:tc>
          <w:tcPr>
            <w:tcW w:w="1710" w:type="dxa"/>
            <w:shd w:val="clear" w:color="auto" w:fill="auto"/>
            <w:vAlign w:val="center"/>
          </w:tcPr>
          <w:p w14:paraId="0C4B719A"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2400*400*2000mm</w:t>
            </w:r>
          </w:p>
        </w:tc>
        <w:tc>
          <w:tcPr>
            <w:tcW w:w="735" w:type="dxa"/>
            <w:shd w:val="clear" w:color="auto" w:fill="auto"/>
            <w:vAlign w:val="center"/>
          </w:tcPr>
          <w:p w14:paraId="4551CD6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6E40D10F"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47A12FF3"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1、基材：采用三聚氰胺板，厚度≥16mm，甲醛释放量≤0.05mg/m³。密度≥0.72g/cm³，内胶合强度≥0.5MPa，握钉力度（板面和板边≥1400N），板材不准许出现分层、鼓泡，防潮性能均符合或合格。                                                                                  2、贴面：木皮，符合GB/T 13010-2020《木材工业用单板》的标准；木皮不含甲醛，含水率6%～14%，刨切单板和锯切单板符合质量要求。                                                                                                  3、门框：采用铝合金金属架，中性盐雾试验、铜加速乙酸盐雾试验以及乙酸盐雾试验耐腐蚀等级均≥9级，符合GB/T 3325-2024《金属家具通用技术条件》的标准；可迁移元素：铅、镉、铬、汞、砷、钡、锑、硒的含量均达到合格，符合HJ 2547-2016《环境标志产品技术要求 家具》的标准。                                                </w:t>
            </w:r>
          </w:p>
          <w:p w14:paraId="0DB94EBA"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4、柜门铰链：金属件涂层无锈蚀、脱色、掉色；符合GB/T10125-2021《人造气氛腐蚀试验 盐雾试验》/GB/T 6461-2002《金属基体上金属和其他无机覆盖层经腐蚀试验后的试样和试件的评级》的标准，中性盐雾试验、铜加速乙酸盐雾试验以及乙酸盐雾试验耐腐蚀等级均≥9级；符合QB/T 2189-2013《家具五金 杯状暗铰链》的标准，铰链耐久性、水平静载荷、垂直静载荷、操作力均达到合格。 </w:t>
            </w:r>
          </w:p>
          <w:p w14:paraId="190DFA0F"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5、水性底面漆：挥发性有机化合物的含量（VOC）、游离甲醛含量均达到合格；水性漆的漆膜外观、光泽度、附着力、耐黄变性均符合GB/T 23999-2009《室内装饰装修用水性木器涂料》的标准。</w:t>
            </w:r>
          </w:p>
        </w:tc>
        <w:tc>
          <w:tcPr>
            <w:tcW w:w="1932" w:type="dxa"/>
            <w:shd w:val="clear" w:color="auto" w:fill="auto"/>
            <w:vAlign w:val="center"/>
          </w:tcPr>
          <w:p w14:paraId="483EC5A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59AE4047" wp14:editId="0CE4DC48">
                  <wp:extent cx="1089660" cy="1108710"/>
                  <wp:effectExtent l="0" t="0" r="0" b="0"/>
                  <wp:docPr id="6189727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72708" name="图片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089660" cy="1108710"/>
                          </a:xfrm>
                          <a:prstGeom prst="rect">
                            <a:avLst/>
                          </a:prstGeom>
                          <a:noFill/>
                          <a:ln>
                            <a:noFill/>
                          </a:ln>
                        </pic:spPr>
                      </pic:pic>
                    </a:graphicData>
                  </a:graphic>
                </wp:inline>
              </w:drawing>
            </w:r>
          </w:p>
        </w:tc>
      </w:tr>
      <w:tr w:rsidR="00290B98" w14:paraId="3B090E7A" w14:textId="77777777" w:rsidTr="00A7341B">
        <w:trPr>
          <w:trHeight w:val="286"/>
        </w:trPr>
        <w:tc>
          <w:tcPr>
            <w:tcW w:w="656" w:type="dxa"/>
            <w:shd w:val="clear" w:color="auto" w:fill="auto"/>
            <w:vAlign w:val="center"/>
          </w:tcPr>
          <w:p w14:paraId="431346DD"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31</w:t>
            </w:r>
          </w:p>
        </w:tc>
        <w:tc>
          <w:tcPr>
            <w:tcW w:w="1065" w:type="dxa"/>
            <w:shd w:val="clear" w:color="auto" w:fill="auto"/>
            <w:vAlign w:val="center"/>
          </w:tcPr>
          <w:p w14:paraId="55925E41"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定制3门柜</w:t>
            </w:r>
          </w:p>
        </w:tc>
        <w:tc>
          <w:tcPr>
            <w:tcW w:w="1710" w:type="dxa"/>
            <w:shd w:val="clear" w:color="auto" w:fill="auto"/>
            <w:vAlign w:val="center"/>
          </w:tcPr>
          <w:p w14:paraId="6B36D8E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1350*400*2000mm</w:t>
            </w:r>
          </w:p>
        </w:tc>
        <w:tc>
          <w:tcPr>
            <w:tcW w:w="735" w:type="dxa"/>
            <w:shd w:val="clear" w:color="auto" w:fill="auto"/>
            <w:vAlign w:val="center"/>
          </w:tcPr>
          <w:p w14:paraId="322AED7B"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600" w:type="dxa"/>
            <w:shd w:val="clear" w:color="auto" w:fill="auto"/>
            <w:vAlign w:val="center"/>
          </w:tcPr>
          <w:p w14:paraId="33E554F0" w14:textId="77777777" w:rsidR="00290B98" w:rsidRDefault="00CF5C43">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7FF83913" w14:textId="77777777" w:rsidR="00290B98" w:rsidRDefault="00CF5C43">
            <w:pPr>
              <w:widowControl/>
              <w:numPr>
                <w:ilvl w:val="0"/>
                <w:numId w:val="2"/>
              </w:numPr>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基材中密度纤维板：甲醛释放量≤0.05mg/m³；苯、甲苯、二甲苯均检测合格；耐液性检测合格；密度偏差检测合格；握螺钉力（板边、板面）检测合格；静曲强度检测合格；弹性模量检测合格；内胶合强度检测合格；表面胶合强度检测合格；可溶性重金属（铅、镉、铬、汞）总含量未检出；耐湿热检测合格；耐干热检测合格；附着力检测合格；耐冷热温差检测合格；耐磨性检测合格；抗冲击检测合格。                                        </w:t>
            </w:r>
          </w:p>
          <w:p w14:paraId="70B28F73"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 xml:space="preserve">2、贴面：面材木皮：甲醛释放量未检出；含水率6-14%。                                                                              </w:t>
            </w:r>
          </w:p>
          <w:p w14:paraId="0D36313B" w14:textId="737D181A"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3、铰链：过载：垂直静载荷商用型（a所有组件或结合处不应断裂；b通过手触压证实，用于紧固的组件不应松动；c所有组件不应有影响正常运作的变形或磨损；d固定组件不应松动；e所有组件的功能不应损害；f杯状暗铰链及其组件不应分离）检测合格；功能：水平静载荷商用型（a所有组件或结合处不应断裂；b通过手触压证实，用于紧固的组件不应松动；c所有组件不应有影响正常运作的变形或磨损；d固定组件不应松动；e所有组件的功能不应损害；f杯状暗铰链及其组件应能正常工作）检测合格；耐久性商用型≥8万次检测合格；乙酸盐雾试验(ASS)连续喷雾≥100h，耐腐蚀等级≥9级，基层的保护等级≥9级；下沉量（在使用调整系统前，安装A型试验门时，下沉量不应大于2.0mm；安装B型试验门时，下沉量不应大于3.0mm）检测合格；符合QB/T 2189-2013《家具五金 杯状暗铰链》、QB/T 3827-1999《轻工产品金属镀层和化学处理层的耐腐蚀试验方法乙酸盐雾试验（ASS）法》、QB/T3832-1999《轻工产品金属镀层腐蚀试验结果的评</w:t>
            </w:r>
            <w:r>
              <w:rPr>
                <w:rFonts w:ascii="宋体" w:eastAsia="宋体" w:hAnsi="宋体" w:cs="宋体" w:hint="eastAsia"/>
                <w:color w:val="000000"/>
                <w:kern w:val="0"/>
                <w:sz w:val="20"/>
                <w:szCs w:val="20"/>
              </w:rPr>
              <w:lastRenderedPageBreak/>
              <w:t>价》标准。（</w:t>
            </w:r>
            <w:r w:rsidR="005331BB" w:rsidRPr="005331BB">
              <w:rPr>
                <w:rFonts w:ascii="宋体" w:eastAsia="宋体" w:hAnsi="宋体" w:cs="宋体" w:hint="eastAsia"/>
                <w:color w:val="000000"/>
                <w:kern w:val="0"/>
                <w:sz w:val="20"/>
                <w:szCs w:val="20"/>
              </w:rPr>
              <w:t>交货时需</w:t>
            </w:r>
            <w:r>
              <w:rPr>
                <w:rFonts w:ascii="宋体" w:eastAsia="宋体" w:hAnsi="宋体" w:cs="宋体" w:hint="eastAsia"/>
                <w:color w:val="000000"/>
                <w:kern w:val="0"/>
                <w:sz w:val="20"/>
                <w:szCs w:val="20"/>
              </w:rPr>
              <w:t>提供满足本条技术参数要求且带CMA标识的检验检测报告扫描件佐证并加盖投标人公章）</w:t>
            </w:r>
          </w:p>
          <w:p w14:paraId="730B610C" w14:textId="77777777" w:rsidR="00290B98" w:rsidRDefault="00CF5C43">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4、五金：采用三合一连接件连接，抗压强度≥250N，连接螺杆螺纹与预埋螺母抗拉强度≥700N，连接件偏心体与螺杆的扭矩≥7.0N·m，中性盐雾试验腐蚀等级均≥9级。                                                                                                    5、涂层：水性底面漆，符合HJ 2537-2014《环境标志产品技术要求 水性涂料》的标准，挥发性有机化合物的含量（VOC）、游离甲醛含量均达到合格；水性漆的漆膜外观、光泽度、附着力、耐黄变性均符合GB/T 23999-2009《室内装饰装修用水性木器涂料》的标准。                                                                   6、成品：符合QB/T2530—2023《木制柜》的标准和要求。</w:t>
            </w:r>
          </w:p>
        </w:tc>
        <w:tc>
          <w:tcPr>
            <w:tcW w:w="1932" w:type="dxa"/>
            <w:shd w:val="clear" w:color="auto" w:fill="auto"/>
            <w:vAlign w:val="center"/>
          </w:tcPr>
          <w:p w14:paraId="1697078B" w14:textId="77777777" w:rsidR="00290B98" w:rsidRDefault="00CF5C43">
            <w:pPr>
              <w:widowControl/>
              <w:jc w:val="center"/>
              <w:rPr>
                <w:rFonts w:ascii="宋体" w:eastAsia="宋体" w:hAnsi="宋体" w:cs="宋体"/>
                <w:color w:val="FF0000"/>
                <w:kern w:val="0"/>
                <w:sz w:val="20"/>
                <w:szCs w:val="20"/>
              </w:rPr>
            </w:pPr>
            <w:r>
              <w:rPr>
                <w:rFonts w:ascii="宋体" w:eastAsia="宋体" w:hAnsi="宋体" w:cs="宋体" w:hint="eastAsia"/>
                <w:noProof/>
                <w:color w:val="FF0000"/>
                <w:kern w:val="0"/>
                <w:sz w:val="20"/>
                <w:szCs w:val="20"/>
              </w:rPr>
              <w:lastRenderedPageBreak/>
              <w:drawing>
                <wp:inline distT="0" distB="0" distL="0" distR="0" wp14:anchorId="42E36CA1" wp14:editId="29CB385A">
                  <wp:extent cx="1089660" cy="826770"/>
                  <wp:effectExtent l="0" t="0" r="0" b="0"/>
                  <wp:docPr id="1618319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9853"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089660" cy="826770"/>
                          </a:xfrm>
                          <a:prstGeom prst="rect">
                            <a:avLst/>
                          </a:prstGeom>
                          <a:noFill/>
                          <a:ln>
                            <a:noFill/>
                          </a:ln>
                        </pic:spPr>
                      </pic:pic>
                    </a:graphicData>
                  </a:graphic>
                </wp:inline>
              </w:drawing>
            </w:r>
          </w:p>
        </w:tc>
      </w:tr>
    </w:tbl>
    <w:p w14:paraId="657D33E3" w14:textId="77777777" w:rsidR="00290B98" w:rsidRDefault="00290B98"/>
    <w:p w14:paraId="0F3C75F1" w14:textId="77777777" w:rsidR="00290B98" w:rsidRDefault="00290B98">
      <w:pPr>
        <w:sectPr w:rsidR="00290B98">
          <w:pgSz w:w="16838" w:h="11906" w:orient="landscape"/>
          <w:pgMar w:top="1440" w:right="1800" w:bottom="1440" w:left="1800" w:header="851" w:footer="992" w:gutter="0"/>
          <w:cols w:space="425"/>
          <w:docGrid w:type="lines" w:linePitch="312"/>
        </w:sectPr>
      </w:pPr>
    </w:p>
    <w:p w14:paraId="1D85564D" w14:textId="77777777" w:rsidR="00290B98" w:rsidRDefault="00CF5C43">
      <w:pPr>
        <w:spacing w:line="360" w:lineRule="auto"/>
        <w:rPr>
          <w:rFonts w:ascii="黑体" w:eastAsia="黑体" w:hAnsi="黑体" w:cs="黑体"/>
          <w:sz w:val="28"/>
          <w:szCs w:val="28"/>
        </w:rPr>
      </w:pPr>
      <w:r>
        <w:rPr>
          <w:rFonts w:ascii="黑体" w:eastAsia="黑体" w:hAnsi="黑体" w:cs="黑体" w:hint="eastAsia"/>
          <w:sz w:val="28"/>
          <w:szCs w:val="28"/>
        </w:rPr>
        <w:lastRenderedPageBreak/>
        <w:t>四、主要商务要求</w:t>
      </w:r>
    </w:p>
    <w:tbl>
      <w:tblPr>
        <w:tblW w:w="0" w:type="auto"/>
        <w:jc w:val="center"/>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1"/>
        <w:gridCol w:w="1984"/>
        <w:gridCol w:w="5471"/>
      </w:tblGrid>
      <w:tr w:rsidR="00290B98" w14:paraId="445D0B72" w14:textId="77777777">
        <w:trPr>
          <w:trHeight w:val="652"/>
          <w:jc w:val="center"/>
        </w:trPr>
        <w:tc>
          <w:tcPr>
            <w:tcW w:w="851" w:type="dxa"/>
          </w:tcPr>
          <w:p w14:paraId="1F4C80D8" w14:textId="77777777" w:rsidR="00290B98" w:rsidRDefault="00CF5C43">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序号</w:t>
            </w:r>
          </w:p>
        </w:tc>
        <w:tc>
          <w:tcPr>
            <w:tcW w:w="1984" w:type="dxa"/>
          </w:tcPr>
          <w:p w14:paraId="54F7B323" w14:textId="77777777" w:rsidR="00290B98" w:rsidRDefault="00CF5C43">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商务要求名称</w:t>
            </w:r>
          </w:p>
        </w:tc>
        <w:tc>
          <w:tcPr>
            <w:tcW w:w="5471" w:type="dxa"/>
          </w:tcPr>
          <w:p w14:paraId="3DA0294C" w14:textId="77777777" w:rsidR="00290B98" w:rsidRDefault="00CF5C43">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商务要求内容</w:t>
            </w:r>
          </w:p>
        </w:tc>
      </w:tr>
      <w:tr w:rsidR="00290B98" w14:paraId="46376D61" w14:textId="77777777">
        <w:trPr>
          <w:trHeight w:val="461"/>
          <w:jc w:val="center"/>
        </w:trPr>
        <w:tc>
          <w:tcPr>
            <w:tcW w:w="851" w:type="dxa"/>
          </w:tcPr>
          <w:p w14:paraId="408CEF27" w14:textId="77777777" w:rsidR="00290B98" w:rsidRDefault="00CF5C43">
            <w:pPr>
              <w:pStyle w:val="a5"/>
              <w:jc w:val="center"/>
            </w:pPr>
            <w:r>
              <w:t>1</w:t>
            </w:r>
          </w:p>
        </w:tc>
        <w:tc>
          <w:tcPr>
            <w:tcW w:w="1984" w:type="dxa"/>
          </w:tcPr>
          <w:p w14:paraId="79BF83BB" w14:textId="77777777" w:rsidR="00290B98" w:rsidRDefault="00CF5C43">
            <w:pPr>
              <w:pStyle w:val="a5"/>
            </w:pPr>
            <w:r>
              <w:t>交货时间</w:t>
            </w:r>
          </w:p>
        </w:tc>
        <w:tc>
          <w:tcPr>
            <w:tcW w:w="5471" w:type="dxa"/>
          </w:tcPr>
          <w:p w14:paraId="432D9199" w14:textId="77777777" w:rsidR="00290B98" w:rsidRDefault="00CF5C43">
            <w:pPr>
              <w:pStyle w:val="a5"/>
            </w:pPr>
            <w:r>
              <w:t>自合同签订之日起</w:t>
            </w:r>
            <w:r>
              <w:rPr>
                <w:rFonts w:hint="eastAsia"/>
              </w:rPr>
              <w:t>30</w:t>
            </w:r>
            <w:r>
              <w:t>日</w:t>
            </w:r>
          </w:p>
        </w:tc>
      </w:tr>
      <w:tr w:rsidR="00290B98" w14:paraId="37E2BA2F" w14:textId="77777777">
        <w:trPr>
          <w:trHeight w:val="424"/>
          <w:jc w:val="center"/>
        </w:trPr>
        <w:tc>
          <w:tcPr>
            <w:tcW w:w="851" w:type="dxa"/>
          </w:tcPr>
          <w:p w14:paraId="576BF110" w14:textId="77777777" w:rsidR="00290B98" w:rsidRDefault="00CF5C43">
            <w:pPr>
              <w:pStyle w:val="a5"/>
              <w:jc w:val="center"/>
            </w:pPr>
            <w:r>
              <w:t>2</w:t>
            </w:r>
          </w:p>
        </w:tc>
        <w:tc>
          <w:tcPr>
            <w:tcW w:w="1984" w:type="dxa"/>
          </w:tcPr>
          <w:p w14:paraId="630BCFF2" w14:textId="77777777" w:rsidR="00290B98" w:rsidRDefault="00CF5C43">
            <w:pPr>
              <w:pStyle w:val="a5"/>
            </w:pPr>
            <w:r>
              <w:t>交货地点</w:t>
            </w:r>
          </w:p>
        </w:tc>
        <w:tc>
          <w:tcPr>
            <w:tcW w:w="5471" w:type="dxa"/>
          </w:tcPr>
          <w:p w14:paraId="57356EA6" w14:textId="77777777" w:rsidR="00290B98" w:rsidRDefault="00CF5C43">
            <w:pPr>
              <w:pStyle w:val="a5"/>
            </w:pPr>
            <w:r>
              <w:t>西华大学</w:t>
            </w:r>
          </w:p>
        </w:tc>
      </w:tr>
      <w:tr w:rsidR="00290B98" w14:paraId="1746F877" w14:textId="77777777">
        <w:trPr>
          <w:trHeight w:val="1664"/>
          <w:jc w:val="center"/>
        </w:trPr>
        <w:tc>
          <w:tcPr>
            <w:tcW w:w="851" w:type="dxa"/>
          </w:tcPr>
          <w:p w14:paraId="100D7BC9" w14:textId="77777777" w:rsidR="00290B98" w:rsidRDefault="00CF5C43">
            <w:pPr>
              <w:pStyle w:val="a5"/>
              <w:jc w:val="center"/>
            </w:pPr>
            <w:r>
              <w:t>3</w:t>
            </w:r>
          </w:p>
        </w:tc>
        <w:tc>
          <w:tcPr>
            <w:tcW w:w="1984" w:type="dxa"/>
          </w:tcPr>
          <w:p w14:paraId="70529845" w14:textId="77777777" w:rsidR="00290B98" w:rsidRDefault="00CF5C43">
            <w:pPr>
              <w:pStyle w:val="a5"/>
            </w:pPr>
            <w:r>
              <w:t>支付方式</w:t>
            </w:r>
          </w:p>
        </w:tc>
        <w:tc>
          <w:tcPr>
            <w:tcW w:w="5471" w:type="dxa"/>
          </w:tcPr>
          <w:p w14:paraId="2BA88F7F" w14:textId="77777777" w:rsidR="00290B98" w:rsidRDefault="00CF5C43">
            <w:pPr>
              <w:pStyle w:val="a5"/>
            </w:pPr>
            <w:r>
              <w:rPr>
                <w:rFonts w:hint="eastAsia"/>
              </w:rPr>
              <w:t>1、</w:t>
            </w:r>
            <w:r>
              <w:t>全部货物安装调试完毕并验收合格之日起，甲方接到乙方通知与票据凭证资料以后的30日内，按照财政性资金支付有关规定，向乙方支付</w:t>
            </w:r>
            <w:r>
              <w:rPr>
                <w:rFonts w:hint="eastAsia"/>
              </w:rPr>
              <w:t>全部货款</w:t>
            </w:r>
            <w:r>
              <w:t>；</w:t>
            </w:r>
          </w:p>
          <w:p w14:paraId="7C95BB7F" w14:textId="77777777" w:rsidR="00290B98" w:rsidRDefault="00CF5C43">
            <w:pPr>
              <w:pStyle w:val="a5"/>
            </w:pPr>
            <w:r>
              <w:rPr>
                <w:rFonts w:hint="eastAsia"/>
              </w:rPr>
              <w:t>2</w:t>
            </w:r>
            <w:r>
              <w:t>、乙方须向甲方出具合法有效完整的</w:t>
            </w:r>
            <w:r>
              <w:rPr>
                <w:rFonts w:hint="eastAsia"/>
              </w:rPr>
              <w:t>增值税专用</w:t>
            </w:r>
            <w:r>
              <w:t>发票及凭证资料进行支付结算。</w:t>
            </w:r>
          </w:p>
        </w:tc>
      </w:tr>
      <w:tr w:rsidR="00290B98" w14:paraId="572D7CAA" w14:textId="77777777">
        <w:trPr>
          <w:trHeight w:val="1694"/>
          <w:jc w:val="center"/>
        </w:trPr>
        <w:tc>
          <w:tcPr>
            <w:tcW w:w="851" w:type="dxa"/>
          </w:tcPr>
          <w:p w14:paraId="18B6B47D" w14:textId="77777777" w:rsidR="00290B98" w:rsidRDefault="00CF5C43">
            <w:pPr>
              <w:pStyle w:val="a5"/>
              <w:jc w:val="center"/>
              <w:rPr>
                <w:rFonts w:asciiTheme="minorEastAsia" w:hAnsiTheme="minorEastAsia" w:cs="仿宋"/>
              </w:rPr>
            </w:pPr>
            <w:r>
              <w:rPr>
                <w:rFonts w:asciiTheme="minorEastAsia" w:hAnsiTheme="minorEastAsia" w:cs="仿宋" w:hint="eastAsia"/>
              </w:rPr>
              <w:t>4</w:t>
            </w:r>
          </w:p>
        </w:tc>
        <w:tc>
          <w:tcPr>
            <w:tcW w:w="1984" w:type="dxa"/>
          </w:tcPr>
          <w:p w14:paraId="3436EF49" w14:textId="77777777" w:rsidR="00290B98" w:rsidRDefault="00CF5C43">
            <w:pPr>
              <w:pStyle w:val="a5"/>
              <w:rPr>
                <w:rFonts w:asciiTheme="minorEastAsia" w:hAnsiTheme="minorEastAsia" w:cs="仿宋"/>
              </w:rPr>
            </w:pPr>
            <w:r>
              <w:rPr>
                <w:rFonts w:asciiTheme="minorEastAsia" w:hAnsiTheme="minorEastAsia" w:cs="仿宋"/>
              </w:rPr>
              <w:t>验收、交付标准和方法</w:t>
            </w:r>
          </w:p>
        </w:tc>
        <w:tc>
          <w:tcPr>
            <w:tcW w:w="5471" w:type="dxa"/>
          </w:tcPr>
          <w:p w14:paraId="3A868F1F" w14:textId="77777777" w:rsidR="00290B98" w:rsidRDefault="00CF5C43">
            <w:pPr>
              <w:pStyle w:val="a5"/>
              <w:rPr>
                <w:rFonts w:asciiTheme="minorEastAsia" w:hAnsiTheme="minorEastAsia"/>
              </w:rPr>
            </w:pPr>
            <w:r>
              <w:rPr>
                <w:rFonts w:asciiTheme="minorEastAsia" w:hAnsiTheme="minorEastAsia" w:cs="仿宋"/>
              </w:rPr>
              <w:t>采购人严格按照《财政部关于进一步加强政府采购需求和履约验收管理的指导意见》（财库〔2016〕205 号）及四川省财政厅相关文件的要求及国家现行的有关法律法规进行验收。验收内容中的技术和商务要求的履约情况，以招标投标文件及合同约定中的技术要求和商务要求为标准。</w:t>
            </w:r>
          </w:p>
        </w:tc>
      </w:tr>
      <w:tr w:rsidR="00290B98" w14:paraId="7C2D8AF3" w14:textId="77777777">
        <w:trPr>
          <w:trHeight w:val="1240"/>
          <w:jc w:val="center"/>
        </w:trPr>
        <w:tc>
          <w:tcPr>
            <w:tcW w:w="851" w:type="dxa"/>
          </w:tcPr>
          <w:p w14:paraId="07146EE3" w14:textId="77777777" w:rsidR="00290B98" w:rsidRDefault="00CF5C43">
            <w:pPr>
              <w:pStyle w:val="a5"/>
              <w:jc w:val="center"/>
              <w:rPr>
                <w:rFonts w:asciiTheme="minorEastAsia" w:hAnsiTheme="minorEastAsia" w:cs="仿宋"/>
              </w:rPr>
            </w:pPr>
            <w:r>
              <w:rPr>
                <w:rFonts w:asciiTheme="minorEastAsia" w:hAnsiTheme="minorEastAsia" w:cs="仿宋" w:hint="eastAsia"/>
              </w:rPr>
              <w:t>5</w:t>
            </w:r>
          </w:p>
        </w:tc>
        <w:tc>
          <w:tcPr>
            <w:tcW w:w="1984" w:type="dxa"/>
          </w:tcPr>
          <w:p w14:paraId="35EEA7DF" w14:textId="77777777" w:rsidR="00290B98" w:rsidRDefault="00CF5C43">
            <w:pPr>
              <w:pStyle w:val="a5"/>
              <w:rPr>
                <w:rFonts w:asciiTheme="minorEastAsia" w:hAnsiTheme="minorEastAsia" w:cs="仿宋"/>
              </w:rPr>
            </w:pPr>
            <w:r>
              <w:rPr>
                <w:rFonts w:asciiTheme="minorEastAsia" w:hAnsiTheme="minorEastAsia" w:cs="仿宋"/>
              </w:rPr>
              <w:t>质量保修范围和保修期</w:t>
            </w:r>
          </w:p>
        </w:tc>
        <w:tc>
          <w:tcPr>
            <w:tcW w:w="5471" w:type="dxa"/>
          </w:tcPr>
          <w:p w14:paraId="1FAAF2B3" w14:textId="77777777" w:rsidR="00290B98" w:rsidRDefault="00CF5C43">
            <w:pPr>
              <w:pStyle w:val="a5"/>
              <w:rPr>
                <w:rFonts w:asciiTheme="minorEastAsia" w:hAnsiTheme="minorEastAsia"/>
              </w:rPr>
            </w:pPr>
            <w:r>
              <w:rPr>
                <w:rFonts w:asciiTheme="minorEastAsia" w:hAnsiTheme="minorEastAsia" w:cs="仿宋"/>
              </w:rPr>
              <w:t>①质保期为验收合格后计算，不低于</w:t>
            </w:r>
            <w:r>
              <w:rPr>
                <w:rFonts w:asciiTheme="minorEastAsia" w:hAnsiTheme="minorEastAsia" w:cs="仿宋" w:hint="eastAsia"/>
              </w:rPr>
              <w:t>3</w:t>
            </w:r>
            <w:r>
              <w:rPr>
                <w:rFonts w:asciiTheme="minorEastAsia" w:hAnsiTheme="minorEastAsia" w:cs="仿宋"/>
              </w:rPr>
              <w:t>年。质保期内出现质量问题，中标人在接到通知后 6小时内电话响应，24 小时内到达现场，完成维修或更换，并承担修理调换的所有费用。</w:t>
            </w:r>
          </w:p>
        </w:tc>
      </w:tr>
      <w:tr w:rsidR="00290B98" w14:paraId="44635208" w14:textId="77777777">
        <w:trPr>
          <w:trHeight w:val="2060"/>
          <w:jc w:val="center"/>
        </w:trPr>
        <w:tc>
          <w:tcPr>
            <w:tcW w:w="851" w:type="dxa"/>
          </w:tcPr>
          <w:p w14:paraId="7A3888E1" w14:textId="77777777" w:rsidR="00290B98" w:rsidRDefault="00CF5C43">
            <w:pPr>
              <w:pStyle w:val="a5"/>
              <w:jc w:val="center"/>
              <w:rPr>
                <w:rFonts w:asciiTheme="minorEastAsia" w:hAnsiTheme="minorEastAsia" w:cs="仿宋"/>
              </w:rPr>
            </w:pPr>
            <w:r>
              <w:rPr>
                <w:rFonts w:asciiTheme="minorEastAsia" w:hAnsiTheme="minorEastAsia" w:cs="仿宋" w:hint="eastAsia"/>
              </w:rPr>
              <w:t>6</w:t>
            </w:r>
          </w:p>
        </w:tc>
        <w:tc>
          <w:tcPr>
            <w:tcW w:w="1984" w:type="dxa"/>
          </w:tcPr>
          <w:p w14:paraId="65E822A3" w14:textId="77777777" w:rsidR="00290B98" w:rsidRDefault="00CF5C43">
            <w:pPr>
              <w:pStyle w:val="a5"/>
              <w:rPr>
                <w:rFonts w:asciiTheme="minorEastAsia" w:hAnsiTheme="minorEastAsia" w:cs="仿宋"/>
              </w:rPr>
            </w:pPr>
            <w:r>
              <w:rPr>
                <w:rFonts w:asciiTheme="minorEastAsia" w:hAnsiTheme="minorEastAsia" w:cs="仿宋"/>
              </w:rPr>
              <w:t>违约责任与解决争议的方法</w:t>
            </w:r>
          </w:p>
        </w:tc>
        <w:tc>
          <w:tcPr>
            <w:tcW w:w="5471" w:type="dxa"/>
          </w:tcPr>
          <w:p w14:paraId="1585ADA5" w14:textId="77777777" w:rsidR="00290B98" w:rsidRDefault="00CF5C43">
            <w:pPr>
              <w:pStyle w:val="a5"/>
              <w:rPr>
                <w:rFonts w:asciiTheme="minorEastAsia" w:hAnsiTheme="minorEastAsia" w:cs="仿宋"/>
              </w:rPr>
            </w:pPr>
            <w:r>
              <w:rPr>
                <w:rFonts w:asciiTheme="minorEastAsia" w:hAnsiTheme="minorEastAsia" w:cs="仿宋"/>
              </w:rPr>
              <w:t>①因货物的质量问题发生争议，由质量技术监督部门或其指定的质量鉴定机构进行质量鉴定。货物符合标准的，鉴定费由采购人承担；货物不符合质量标准的，鉴定费由投标人承担。 ②合同履行期间,若双方发生争议，可协商或由有关部门调解解决，协商或调解不成的，由当事人依法维护其合法权益。</w:t>
            </w:r>
          </w:p>
        </w:tc>
      </w:tr>
      <w:tr w:rsidR="00290B98" w14:paraId="74F83F3F" w14:textId="77777777">
        <w:trPr>
          <w:trHeight w:val="1539"/>
          <w:jc w:val="center"/>
        </w:trPr>
        <w:tc>
          <w:tcPr>
            <w:tcW w:w="851" w:type="dxa"/>
          </w:tcPr>
          <w:p w14:paraId="314ED480" w14:textId="77777777" w:rsidR="00290B98" w:rsidRDefault="00CF5C43">
            <w:pPr>
              <w:pStyle w:val="a5"/>
              <w:jc w:val="center"/>
              <w:rPr>
                <w:rFonts w:asciiTheme="minorEastAsia" w:hAnsiTheme="minorEastAsia" w:cs="仿宋"/>
              </w:rPr>
            </w:pPr>
            <w:r>
              <w:rPr>
                <w:rFonts w:asciiTheme="minorEastAsia" w:hAnsiTheme="minorEastAsia" w:cs="仿宋" w:hint="eastAsia"/>
              </w:rPr>
              <w:t>7</w:t>
            </w:r>
          </w:p>
        </w:tc>
        <w:tc>
          <w:tcPr>
            <w:tcW w:w="1984" w:type="dxa"/>
          </w:tcPr>
          <w:p w14:paraId="383AF2F0" w14:textId="77777777" w:rsidR="00290B98" w:rsidRDefault="00CF5C43">
            <w:pPr>
              <w:pStyle w:val="a5"/>
              <w:rPr>
                <w:rFonts w:asciiTheme="minorEastAsia" w:hAnsiTheme="minorEastAsia" w:cs="仿宋"/>
              </w:rPr>
            </w:pPr>
            <w:r>
              <w:rPr>
                <w:rFonts w:asciiTheme="minorEastAsia" w:hAnsiTheme="minorEastAsia" w:cs="仿宋"/>
              </w:rPr>
              <w:t>包装方式及运输</w:t>
            </w:r>
          </w:p>
        </w:tc>
        <w:tc>
          <w:tcPr>
            <w:tcW w:w="5471" w:type="dxa"/>
          </w:tcPr>
          <w:p w14:paraId="4886C31E" w14:textId="77777777" w:rsidR="00290B98" w:rsidRDefault="00CF5C43">
            <w:pPr>
              <w:pStyle w:val="a5"/>
              <w:rPr>
                <w:rFonts w:asciiTheme="minorEastAsia" w:hAnsiTheme="minorEastAsia"/>
              </w:rPr>
            </w:pPr>
            <w:r>
              <w:rPr>
                <w:rFonts w:asciiTheme="minorEastAsia" w:hAnsiTheme="minorEastAsia" w:cs="仿宋"/>
              </w:rPr>
              <w:t>涉及的商品包装和快递包装，均应符合《商品包装政府采购需求标准（试行）》《快递包装政府采购需求标准（试行）》的要求，包装应适应于远距离运输、防潮、防震、防锈和防野蛮装卸，以确保货物安全无损运抵指定地点。</w:t>
            </w:r>
          </w:p>
        </w:tc>
      </w:tr>
      <w:tr w:rsidR="00290B98" w14:paraId="529FC224" w14:textId="77777777">
        <w:trPr>
          <w:trHeight w:val="1539"/>
          <w:jc w:val="center"/>
        </w:trPr>
        <w:tc>
          <w:tcPr>
            <w:tcW w:w="851" w:type="dxa"/>
          </w:tcPr>
          <w:p w14:paraId="729F3C8F" w14:textId="77777777" w:rsidR="00290B98" w:rsidRDefault="00CF5C43">
            <w:pPr>
              <w:pStyle w:val="a5"/>
              <w:jc w:val="center"/>
              <w:rPr>
                <w:rFonts w:asciiTheme="minorEastAsia" w:hAnsiTheme="minorEastAsia" w:cs="仿宋"/>
              </w:rPr>
            </w:pPr>
            <w:r>
              <w:rPr>
                <w:rFonts w:asciiTheme="minorEastAsia" w:hAnsiTheme="minorEastAsia" w:cs="仿宋" w:hint="eastAsia"/>
              </w:rPr>
              <w:t>8</w:t>
            </w:r>
          </w:p>
        </w:tc>
        <w:tc>
          <w:tcPr>
            <w:tcW w:w="1984" w:type="dxa"/>
          </w:tcPr>
          <w:p w14:paraId="61E330B5" w14:textId="77777777" w:rsidR="00290B98" w:rsidRDefault="00CF5C43">
            <w:pPr>
              <w:pStyle w:val="a5"/>
              <w:rPr>
                <w:rFonts w:asciiTheme="minorEastAsia" w:hAnsiTheme="minorEastAsia" w:cs="仿宋"/>
              </w:rPr>
            </w:pPr>
            <w:r>
              <w:rPr>
                <w:rFonts w:asciiTheme="minorEastAsia" w:hAnsiTheme="minorEastAsia" w:cs="仿宋" w:hint="eastAsia"/>
              </w:rPr>
              <w:t>知识产权</w:t>
            </w:r>
          </w:p>
        </w:tc>
        <w:tc>
          <w:tcPr>
            <w:tcW w:w="5471" w:type="dxa"/>
          </w:tcPr>
          <w:p w14:paraId="63D08C35" w14:textId="77777777" w:rsidR="00290B98" w:rsidRDefault="00CF5C43">
            <w:pPr>
              <w:pStyle w:val="a5"/>
              <w:rPr>
                <w:rFonts w:asciiTheme="minorEastAsia" w:hAnsiTheme="minorEastAsia" w:cs="仿宋"/>
              </w:rPr>
            </w:pPr>
            <w:r>
              <w:rPr>
                <w:rFonts w:asciiTheme="minorEastAsia" w:hAnsiTheme="minorEastAsia" w:cs="仿宋" w:hint="eastAsia"/>
              </w:rPr>
              <w:t>中标人应保证在本项目使用的任何产品和服务（包括部分使用）时，不会产生因第三方提出侵犯其专利权、商标权或其它知识产权而引起的法律和经济纠纷，如因专利权、商标权或其它知识产权而引起法律和经济纠纷，由中标人承担所有相关责任。采购人享有本项目实施过程中产生的知识成果及知识产权。中标人如拟在项目实施过程中采用自有知识成果，需提供开发接口和开发手册等技术文档，并提供无限期技术支持，采购人享有永久使用权（含采购人委托第三方在该项目后续开发的使用权）</w:t>
            </w:r>
          </w:p>
        </w:tc>
      </w:tr>
    </w:tbl>
    <w:p w14:paraId="55E7C6B4" w14:textId="77777777" w:rsidR="00290B98" w:rsidRDefault="00CF5C43">
      <w:pPr>
        <w:numPr>
          <w:ilvl w:val="0"/>
          <w:numId w:val="3"/>
        </w:numPr>
        <w:spacing w:line="360" w:lineRule="auto"/>
        <w:rPr>
          <w:rFonts w:ascii="黑体" w:eastAsia="黑体" w:hAnsi="黑体" w:cs="黑体"/>
          <w:sz w:val="28"/>
          <w:szCs w:val="28"/>
        </w:rPr>
      </w:pPr>
      <w:r>
        <w:rPr>
          <w:rFonts w:ascii="黑体" w:eastAsia="黑体" w:hAnsi="黑体" w:cs="黑体" w:hint="eastAsia"/>
          <w:sz w:val="28"/>
          <w:szCs w:val="28"/>
        </w:rPr>
        <w:lastRenderedPageBreak/>
        <w:t>评分细则</w:t>
      </w:r>
    </w:p>
    <w:tbl>
      <w:tblPr>
        <w:tblW w:w="9686" w:type="dxa"/>
        <w:jc w:val="center"/>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830"/>
        <w:gridCol w:w="730"/>
        <w:gridCol w:w="4701"/>
        <w:gridCol w:w="838"/>
        <w:gridCol w:w="877"/>
        <w:gridCol w:w="1710"/>
      </w:tblGrid>
      <w:tr w:rsidR="00290B98" w14:paraId="58B6157F" w14:textId="77777777">
        <w:trPr>
          <w:jc w:val="center"/>
        </w:trPr>
        <w:tc>
          <w:tcPr>
            <w:tcW w:w="1560" w:type="dxa"/>
            <w:gridSpan w:val="2"/>
            <w:vAlign w:val="center"/>
          </w:tcPr>
          <w:p w14:paraId="37BEC93F" w14:textId="77777777" w:rsidR="00290B98" w:rsidRDefault="00CF5C43">
            <w:pPr>
              <w:pStyle w:val="null3"/>
              <w:jc w:val="center"/>
              <w:rPr>
                <w:rFonts w:ascii="宋体" w:eastAsia="宋体" w:hAnsi="宋体" w:hint="default"/>
              </w:rPr>
            </w:pPr>
            <w:r>
              <w:rPr>
                <w:rFonts w:ascii="宋体" w:eastAsia="宋体" w:hAnsi="宋体"/>
              </w:rPr>
              <w:t>评审因素</w:t>
            </w:r>
          </w:p>
        </w:tc>
        <w:tc>
          <w:tcPr>
            <w:tcW w:w="8126" w:type="dxa"/>
            <w:gridSpan w:val="4"/>
            <w:vAlign w:val="center"/>
          </w:tcPr>
          <w:p w14:paraId="2D3B5845" w14:textId="77777777" w:rsidR="00290B98" w:rsidRDefault="00CF5C43">
            <w:pPr>
              <w:pStyle w:val="null3"/>
              <w:jc w:val="center"/>
              <w:rPr>
                <w:rFonts w:ascii="宋体" w:eastAsia="宋体" w:hAnsi="宋体" w:hint="default"/>
              </w:rPr>
            </w:pPr>
            <w:r>
              <w:rPr>
                <w:rFonts w:ascii="宋体" w:eastAsia="宋体" w:hAnsi="宋体"/>
              </w:rPr>
              <w:t xml:space="preserve"> 评审标准</w:t>
            </w:r>
          </w:p>
        </w:tc>
      </w:tr>
      <w:tr w:rsidR="00290B98" w14:paraId="22B4239E" w14:textId="77777777">
        <w:trPr>
          <w:jc w:val="center"/>
        </w:trPr>
        <w:tc>
          <w:tcPr>
            <w:tcW w:w="1560" w:type="dxa"/>
            <w:gridSpan w:val="2"/>
            <w:vAlign w:val="center"/>
          </w:tcPr>
          <w:p w14:paraId="5C639F72" w14:textId="77777777" w:rsidR="00290B98" w:rsidRDefault="00CF5C43">
            <w:pPr>
              <w:pStyle w:val="null3"/>
              <w:jc w:val="center"/>
              <w:rPr>
                <w:rFonts w:ascii="宋体" w:eastAsia="宋体" w:hAnsi="宋体" w:hint="default"/>
              </w:rPr>
            </w:pPr>
            <w:r>
              <w:rPr>
                <w:rFonts w:ascii="宋体" w:eastAsia="宋体" w:hAnsi="宋体"/>
              </w:rPr>
              <w:t>分值构成</w:t>
            </w:r>
          </w:p>
        </w:tc>
        <w:tc>
          <w:tcPr>
            <w:tcW w:w="8126" w:type="dxa"/>
            <w:gridSpan w:val="4"/>
            <w:vAlign w:val="center"/>
          </w:tcPr>
          <w:p w14:paraId="74E8D158" w14:textId="77777777" w:rsidR="00290B98" w:rsidRDefault="00CF5C43">
            <w:pPr>
              <w:pStyle w:val="null3"/>
              <w:jc w:val="center"/>
              <w:rPr>
                <w:rFonts w:ascii="宋体" w:eastAsia="宋体" w:hAnsi="宋体" w:hint="default"/>
              </w:rPr>
            </w:pPr>
            <w:r>
              <w:rPr>
                <w:rFonts w:ascii="宋体" w:eastAsia="宋体" w:hAnsi="宋体"/>
              </w:rPr>
              <w:t>详细评审100.00分</w:t>
            </w:r>
          </w:p>
        </w:tc>
      </w:tr>
      <w:tr w:rsidR="00290B98" w14:paraId="1C0FFD8F" w14:textId="77777777">
        <w:trPr>
          <w:jc w:val="center"/>
        </w:trPr>
        <w:tc>
          <w:tcPr>
            <w:tcW w:w="830" w:type="dxa"/>
            <w:vAlign w:val="center"/>
          </w:tcPr>
          <w:p w14:paraId="73C7279B" w14:textId="77777777" w:rsidR="00290B98" w:rsidRDefault="00CF5C43">
            <w:pPr>
              <w:pStyle w:val="null3"/>
              <w:jc w:val="center"/>
              <w:rPr>
                <w:rFonts w:ascii="宋体" w:eastAsia="宋体" w:hAnsi="宋体" w:hint="default"/>
              </w:rPr>
            </w:pPr>
            <w:r>
              <w:rPr>
                <w:rFonts w:ascii="宋体" w:eastAsia="宋体" w:hAnsi="宋体"/>
              </w:rPr>
              <w:t>评审因素分类</w:t>
            </w:r>
          </w:p>
        </w:tc>
        <w:tc>
          <w:tcPr>
            <w:tcW w:w="730" w:type="dxa"/>
            <w:vAlign w:val="center"/>
          </w:tcPr>
          <w:p w14:paraId="3A4762E4" w14:textId="77777777" w:rsidR="00290B98" w:rsidRDefault="00CF5C43">
            <w:pPr>
              <w:pStyle w:val="null3"/>
              <w:jc w:val="center"/>
              <w:rPr>
                <w:rFonts w:ascii="宋体" w:eastAsia="宋体" w:hAnsi="宋体" w:hint="default"/>
              </w:rPr>
            </w:pPr>
            <w:r>
              <w:rPr>
                <w:rFonts w:ascii="宋体" w:eastAsia="宋体" w:hAnsi="宋体"/>
              </w:rPr>
              <w:t>评审项</w:t>
            </w:r>
          </w:p>
        </w:tc>
        <w:tc>
          <w:tcPr>
            <w:tcW w:w="4701" w:type="dxa"/>
            <w:vAlign w:val="center"/>
          </w:tcPr>
          <w:p w14:paraId="5FA988C9" w14:textId="77777777" w:rsidR="00290B98" w:rsidRDefault="00CF5C43">
            <w:pPr>
              <w:pStyle w:val="null3"/>
              <w:jc w:val="center"/>
              <w:rPr>
                <w:rFonts w:ascii="宋体" w:eastAsia="宋体" w:hAnsi="宋体" w:hint="default"/>
              </w:rPr>
            </w:pPr>
            <w:r>
              <w:rPr>
                <w:rFonts w:ascii="宋体" w:eastAsia="宋体" w:hAnsi="宋体"/>
              </w:rPr>
              <w:t>详细描述</w:t>
            </w:r>
          </w:p>
        </w:tc>
        <w:tc>
          <w:tcPr>
            <w:tcW w:w="838" w:type="dxa"/>
            <w:vAlign w:val="center"/>
          </w:tcPr>
          <w:p w14:paraId="05F17D8F" w14:textId="77777777" w:rsidR="00290B98" w:rsidRDefault="00CF5C43">
            <w:pPr>
              <w:pStyle w:val="null3"/>
              <w:jc w:val="center"/>
              <w:rPr>
                <w:rFonts w:ascii="宋体" w:eastAsia="宋体" w:hAnsi="宋体" w:hint="default"/>
              </w:rPr>
            </w:pPr>
            <w:r>
              <w:rPr>
                <w:rFonts w:ascii="宋体" w:eastAsia="宋体" w:hAnsi="宋体"/>
              </w:rPr>
              <w:t>分值</w:t>
            </w:r>
          </w:p>
        </w:tc>
        <w:tc>
          <w:tcPr>
            <w:tcW w:w="877" w:type="dxa"/>
            <w:vAlign w:val="center"/>
          </w:tcPr>
          <w:p w14:paraId="1C6A9810" w14:textId="77777777" w:rsidR="00290B98" w:rsidRDefault="00CF5C43">
            <w:pPr>
              <w:pStyle w:val="null3"/>
              <w:jc w:val="center"/>
              <w:rPr>
                <w:rFonts w:ascii="宋体" w:eastAsia="宋体" w:hAnsi="宋体" w:hint="default"/>
              </w:rPr>
            </w:pPr>
            <w:r>
              <w:rPr>
                <w:rFonts w:ascii="宋体" w:eastAsia="宋体" w:hAnsi="宋体"/>
              </w:rPr>
              <w:t>客观/主观</w:t>
            </w:r>
          </w:p>
        </w:tc>
        <w:tc>
          <w:tcPr>
            <w:tcW w:w="1710" w:type="dxa"/>
            <w:vAlign w:val="center"/>
          </w:tcPr>
          <w:p w14:paraId="405871BC" w14:textId="77777777" w:rsidR="00290B98" w:rsidRDefault="00CF5C43">
            <w:pPr>
              <w:pStyle w:val="null3"/>
              <w:jc w:val="center"/>
              <w:rPr>
                <w:rFonts w:ascii="宋体" w:eastAsia="宋体" w:hAnsi="宋体" w:hint="default"/>
              </w:rPr>
            </w:pPr>
            <w:r>
              <w:rPr>
                <w:rFonts w:ascii="宋体" w:eastAsia="宋体" w:hAnsi="宋体"/>
              </w:rPr>
              <w:t>关联格式</w:t>
            </w:r>
          </w:p>
        </w:tc>
      </w:tr>
      <w:tr w:rsidR="00290B98" w14:paraId="0DCF6BDA" w14:textId="77777777">
        <w:trPr>
          <w:trHeight w:val="1059"/>
          <w:jc w:val="center"/>
        </w:trPr>
        <w:tc>
          <w:tcPr>
            <w:tcW w:w="830" w:type="dxa"/>
            <w:vMerge w:val="restart"/>
            <w:vAlign w:val="center"/>
          </w:tcPr>
          <w:p w14:paraId="2C7F1CA2" w14:textId="77777777" w:rsidR="00290B98" w:rsidRDefault="00CF5C43">
            <w:pPr>
              <w:pStyle w:val="null3"/>
              <w:jc w:val="center"/>
              <w:rPr>
                <w:rFonts w:ascii="宋体" w:eastAsia="宋体" w:hAnsi="宋体" w:hint="default"/>
              </w:rPr>
            </w:pPr>
            <w:r>
              <w:rPr>
                <w:rFonts w:ascii="宋体" w:eastAsia="宋体" w:hAnsi="宋体"/>
              </w:rPr>
              <w:t>详细评审</w:t>
            </w:r>
          </w:p>
        </w:tc>
        <w:tc>
          <w:tcPr>
            <w:tcW w:w="730" w:type="dxa"/>
            <w:vAlign w:val="center"/>
          </w:tcPr>
          <w:p w14:paraId="237A49D8" w14:textId="77777777" w:rsidR="00290B98" w:rsidRDefault="00CF5C43">
            <w:pPr>
              <w:pStyle w:val="null3"/>
              <w:jc w:val="center"/>
              <w:rPr>
                <w:rFonts w:ascii="宋体" w:eastAsia="宋体" w:hAnsi="宋体" w:hint="default"/>
              </w:rPr>
            </w:pPr>
            <w:r>
              <w:rPr>
                <w:rFonts w:ascii="宋体" w:eastAsia="宋体" w:hAnsi="宋体"/>
              </w:rPr>
              <w:t>报价</w:t>
            </w:r>
          </w:p>
        </w:tc>
        <w:tc>
          <w:tcPr>
            <w:tcW w:w="4701" w:type="dxa"/>
            <w:vAlign w:val="center"/>
          </w:tcPr>
          <w:p w14:paraId="256FB8E4" w14:textId="77777777" w:rsidR="00290B98" w:rsidRDefault="00CF5C43">
            <w:pPr>
              <w:pStyle w:val="null3"/>
              <w:spacing w:line="320" w:lineRule="exact"/>
              <w:rPr>
                <w:rFonts w:ascii="宋体" w:eastAsia="宋体" w:hAnsi="宋体" w:hint="default"/>
              </w:rPr>
            </w:pPr>
            <w:r>
              <w:rPr>
                <w:rFonts w:ascii="宋体" w:eastAsia="宋体" w:hAnsi="宋体"/>
              </w:rPr>
              <w:t>通过资格性和符合性审查，且投标报价最低的投标人的投标报价作为评标基准价；投标报价得分=(评 标基准价／投标报价)×30。</w:t>
            </w:r>
          </w:p>
        </w:tc>
        <w:tc>
          <w:tcPr>
            <w:tcW w:w="838" w:type="dxa"/>
            <w:vAlign w:val="center"/>
          </w:tcPr>
          <w:p w14:paraId="4A14B900" w14:textId="77777777" w:rsidR="00290B98" w:rsidRDefault="00CF5C43">
            <w:pPr>
              <w:pStyle w:val="null3"/>
              <w:jc w:val="center"/>
              <w:rPr>
                <w:rFonts w:ascii="宋体" w:eastAsia="宋体" w:hAnsi="宋体" w:hint="default"/>
              </w:rPr>
            </w:pPr>
            <w:r>
              <w:rPr>
                <w:rFonts w:ascii="宋体" w:eastAsia="宋体" w:hAnsi="宋体"/>
              </w:rPr>
              <w:t>30.00</w:t>
            </w:r>
          </w:p>
        </w:tc>
        <w:tc>
          <w:tcPr>
            <w:tcW w:w="877" w:type="dxa"/>
            <w:vAlign w:val="center"/>
          </w:tcPr>
          <w:p w14:paraId="180A1B5B" w14:textId="77777777" w:rsidR="00290B98" w:rsidRDefault="00CF5C43">
            <w:pPr>
              <w:pStyle w:val="null3"/>
              <w:rPr>
                <w:rFonts w:ascii="宋体" w:eastAsia="宋体" w:hAnsi="宋体" w:hint="default"/>
              </w:rPr>
            </w:pPr>
            <w:r>
              <w:rPr>
                <w:rFonts w:ascii="宋体" w:eastAsia="宋体" w:hAnsi="宋体"/>
              </w:rPr>
              <w:t>客观</w:t>
            </w:r>
          </w:p>
        </w:tc>
        <w:tc>
          <w:tcPr>
            <w:tcW w:w="1710" w:type="dxa"/>
            <w:vAlign w:val="center"/>
          </w:tcPr>
          <w:p w14:paraId="56C82A2E" w14:textId="77777777" w:rsidR="00290B98" w:rsidRDefault="00CF5C43">
            <w:pPr>
              <w:pStyle w:val="null3"/>
              <w:rPr>
                <w:rFonts w:ascii="宋体" w:eastAsia="宋体" w:hAnsi="宋体" w:hint="default"/>
              </w:rPr>
            </w:pPr>
            <w:r>
              <w:rPr>
                <w:rFonts w:ascii="宋体" w:eastAsia="宋体" w:hAnsi="宋体"/>
              </w:rPr>
              <w:t>开标一览表</w:t>
            </w:r>
          </w:p>
          <w:p w14:paraId="5807026C" w14:textId="77777777" w:rsidR="00290B98" w:rsidRDefault="00CF5C43">
            <w:pPr>
              <w:pStyle w:val="null3"/>
              <w:rPr>
                <w:rFonts w:ascii="宋体" w:eastAsia="宋体" w:hAnsi="宋体" w:hint="default"/>
              </w:rPr>
            </w:pPr>
            <w:r>
              <w:rPr>
                <w:rFonts w:ascii="宋体" w:eastAsia="宋体" w:hAnsi="宋体"/>
              </w:rPr>
              <w:t>分项报价表</w:t>
            </w:r>
          </w:p>
          <w:p w14:paraId="1FF4CFAA" w14:textId="77777777" w:rsidR="00290B98" w:rsidRDefault="00CF5C43">
            <w:pPr>
              <w:pStyle w:val="null3"/>
              <w:rPr>
                <w:rFonts w:ascii="宋体" w:eastAsia="宋体" w:hAnsi="宋体" w:hint="default"/>
              </w:rPr>
            </w:pPr>
            <w:r>
              <w:rPr>
                <w:rFonts w:ascii="宋体" w:eastAsia="宋体" w:hAnsi="宋体"/>
              </w:rPr>
              <w:t>其他相关证明材料</w:t>
            </w:r>
          </w:p>
        </w:tc>
      </w:tr>
      <w:tr w:rsidR="00290B98" w14:paraId="78736C32" w14:textId="77777777">
        <w:trPr>
          <w:trHeight w:val="3893"/>
          <w:jc w:val="center"/>
        </w:trPr>
        <w:tc>
          <w:tcPr>
            <w:tcW w:w="830" w:type="dxa"/>
            <w:vMerge/>
            <w:vAlign w:val="center"/>
          </w:tcPr>
          <w:p w14:paraId="69693B6C" w14:textId="77777777" w:rsidR="00290B98" w:rsidRDefault="00290B98">
            <w:pPr>
              <w:jc w:val="center"/>
              <w:rPr>
                <w:rFonts w:ascii="宋体" w:eastAsia="宋体" w:hAnsi="宋体"/>
                <w:sz w:val="20"/>
                <w:szCs w:val="20"/>
              </w:rPr>
            </w:pPr>
          </w:p>
        </w:tc>
        <w:tc>
          <w:tcPr>
            <w:tcW w:w="730" w:type="dxa"/>
            <w:vAlign w:val="center"/>
          </w:tcPr>
          <w:p w14:paraId="0519850A" w14:textId="77777777" w:rsidR="00290B98" w:rsidRDefault="00CF5C43">
            <w:pPr>
              <w:pStyle w:val="null3"/>
              <w:jc w:val="center"/>
              <w:rPr>
                <w:rFonts w:ascii="宋体" w:eastAsia="宋体" w:hAnsi="宋体" w:hint="default"/>
              </w:rPr>
            </w:pPr>
            <w:r>
              <w:rPr>
                <w:rFonts w:ascii="宋体" w:eastAsia="宋体" w:hAnsi="宋体"/>
              </w:rPr>
              <w:t>技术指标和配置</w:t>
            </w:r>
          </w:p>
        </w:tc>
        <w:tc>
          <w:tcPr>
            <w:tcW w:w="4701" w:type="dxa"/>
            <w:vAlign w:val="center"/>
          </w:tcPr>
          <w:p w14:paraId="3F118C34" w14:textId="77777777" w:rsidR="00290B98" w:rsidRDefault="00CF5C43">
            <w:pPr>
              <w:pStyle w:val="null3"/>
              <w:spacing w:line="320" w:lineRule="exact"/>
              <w:rPr>
                <w:rFonts w:ascii="宋体" w:eastAsia="宋体" w:hAnsi="宋体" w:hint="default"/>
              </w:rPr>
            </w:pPr>
            <w:r>
              <w:rPr>
                <w:rFonts w:ascii="宋体" w:eastAsia="宋体" w:hAnsi="宋体"/>
              </w:rPr>
              <w:t>完全符合招标文件技术参数要求没有负偏离的得</w:t>
            </w:r>
            <w:r>
              <w:rPr>
                <w:rFonts w:ascii="宋体" w:eastAsia="宋体" w:hAnsi="宋体"/>
                <w:lang w:eastAsia="zh-CN"/>
              </w:rPr>
              <w:t>42.6</w:t>
            </w:r>
            <w:r>
              <w:rPr>
                <w:rFonts w:ascii="宋体" w:eastAsia="宋体" w:hAnsi="宋体"/>
              </w:rPr>
              <w:t xml:space="preserve">分,其中： </w:t>
            </w:r>
            <w:r>
              <w:rPr>
                <w:rFonts w:ascii="宋体" w:eastAsia="宋体" w:hAnsi="宋体"/>
                <w:lang w:eastAsia="zh-CN"/>
              </w:rPr>
              <w:t xml:space="preserve">                                              </w:t>
            </w:r>
            <w:r>
              <w:rPr>
                <w:rFonts w:ascii="仿宋_GB2312" w:eastAsia="仿宋_GB2312" w:hAnsi="仿宋_GB2312" w:cs="仿宋_GB2312"/>
              </w:rPr>
              <w:t xml:space="preserve"> </w:t>
            </w:r>
            <w:r>
              <w:rPr>
                <w:rFonts w:ascii="宋体" w:eastAsia="宋体" w:hAnsi="宋体"/>
              </w:rPr>
              <w:t>1、带“▲”</w:t>
            </w:r>
            <w:r>
              <w:rPr>
                <w:rFonts w:ascii="宋体" w:eastAsia="宋体" w:hAnsi="宋体"/>
                <w:lang w:eastAsia="zh-CN"/>
              </w:rPr>
              <w:t>为</w:t>
            </w:r>
            <w:r>
              <w:rPr>
                <w:rFonts w:ascii="宋体" w:eastAsia="宋体" w:hAnsi="宋体"/>
              </w:rPr>
              <w:t>重要技术参数</w:t>
            </w:r>
            <w:r>
              <w:rPr>
                <w:rFonts w:ascii="宋体" w:eastAsia="宋体" w:hAnsi="宋体"/>
                <w:lang w:eastAsia="zh-CN"/>
              </w:rPr>
              <w:t>（小计30条）</w:t>
            </w:r>
            <w:r>
              <w:rPr>
                <w:rFonts w:ascii="宋体" w:eastAsia="宋体" w:hAnsi="宋体"/>
              </w:rPr>
              <w:t>，</w:t>
            </w:r>
            <w:r>
              <w:rPr>
                <w:rFonts w:ascii="宋体" w:eastAsia="宋体" w:hAnsi="宋体"/>
                <w:lang w:eastAsia="zh-CN"/>
              </w:rPr>
              <w:t>共计40.5</w:t>
            </w:r>
            <w:r>
              <w:rPr>
                <w:rFonts w:ascii="宋体" w:eastAsia="宋体" w:hAnsi="宋体"/>
              </w:rPr>
              <w:t>分</w:t>
            </w:r>
            <w:r>
              <w:rPr>
                <w:rFonts w:ascii="宋体" w:eastAsia="宋体" w:hAnsi="宋体"/>
                <w:lang w:eastAsia="zh-CN"/>
              </w:rPr>
              <w:t>，</w:t>
            </w:r>
            <w:r>
              <w:rPr>
                <w:rFonts w:ascii="宋体" w:eastAsia="宋体" w:hAnsi="宋体"/>
              </w:rPr>
              <w:t>每有一项负偏离的扣</w:t>
            </w:r>
            <w:r>
              <w:rPr>
                <w:rFonts w:ascii="宋体" w:eastAsia="宋体" w:hAnsi="宋体"/>
                <w:lang w:eastAsia="zh-CN"/>
              </w:rPr>
              <w:t>1.35</w:t>
            </w:r>
            <w:r>
              <w:rPr>
                <w:rFonts w:ascii="宋体" w:eastAsia="宋体" w:hAnsi="宋体"/>
              </w:rPr>
              <w:t>分，扣完为止。</w:t>
            </w:r>
          </w:p>
          <w:p w14:paraId="1F3C69E1" w14:textId="77777777" w:rsidR="00290B98" w:rsidRDefault="00CF5C43">
            <w:pPr>
              <w:pStyle w:val="null3"/>
              <w:spacing w:line="320" w:lineRule="exact"/>
              <w:rPr>
                <w:rFonts w:ascii="宋体" w:eastAsia="宋体" w:hAnsi="宋体" w:hint="default"/>
              </w:rPr>
            </w:pPr>
            <w:r>
              <w:rPr>
                <w:rFonts w:ascii="宋体" w:eastAsia="宋体" w:hAnsi="宋体"/>
              </w:rPr>
              <w:t>2、一般性技术参数</w:t>
            </w:r>
            <w:r>
              <w:rPr>
                <w:rFonts w:ascii="宋体" w:eastAsia="宋体" w:hAnsi="宋体"/>
                <w:lang w:eastAsia="zh-CN"/>
              </w:rPr>
              <w:t>（小计105条）</w:t>
            </w:r>
            <w:r>
              <w:rPr>
                <w:rFonts w:ascii="宋体" w:eastAsia="宋体" w:hAnsi="宋体"/>
              </w:rPr>
              <w:t>，</w:t>
            </w:r>
            <w:r>
              <w:rPr>
                <w:rFonts w:ascii="宋体" w:eastAsia="宋体" w:hAnsi="宋体"/>
                <w:lang w:eastAsia="zh-CN"/>
              </w:rPr>
              <w:t>共计2.1</w:t>
            </w:r>
            <w:r>
              <w:rPr>
                <w:rFonts w:ascii="宋体" w:eastAsia="宋体" w:hAnsi="宋体"/>
              </w:rPr>
              <w:t>分</w:t>
            </w:r>
            <w:r>
              <w:rPr>
                <w:rFonts w:ascii="宋体" w:eastAsia="宋体" w:hAnsi="宋体"/>
                <w:lang w:eastAsia="zh-CN"/>
              </w:rPr>
              <w:t>，</w:t>
            </w:r>
            <w:r>
              <w:rPr>
                <w:rFonts w:ascii="宋体" w:eastAsia="宋体" w:hAnsi="宋体"/>
              </w:rPr>
              <w:t>每有一项负偏离的扣</w:t>
            </w:r>
            <w:r>
              <w:rPr>
                <w:rFonts w:ascii="宋体" w:eastAsia="宋体" w:hAnsi="宋体"/>
                <w:lang w:eastAsia="zh-CN"/>
              </w:rPr>
              <w:t>0.02</w:t>
            </w:r>
            <w:r>
              <w:rPr>
                <w:rFonts w:ascii="宋体" w:eastAsia="宋体" w:hAnsi="宋体"/>
              </w:rPr>
              <w:t>分，扣完为止</w:t>
            </w:r>
          </w:p>
          <w:p w14:paraId="6BB69F0C" w14:textId="4E465B6C" w:rsidR="00290B98" w:rsidRDefault="00CF5C43">
            <w:pPr>
              <w:pStyle w:val="null3"/>
              <w:spacing w:line="320" w:lineRule="exact"/>
              <w:rPr>
                <w:rFonts w:ascii="宋体" w:eastAsia="宋体" w:hAnsi="宋体" w:hint="default"/>
              </w:rPr>
            </w:pPr>
            <w:r>
              <w:rPr>
                <w:rFonts w:ascii="宋体" w:hAnsi="宋体" w:cs="宋体"/>
                <w:szCs w:val="21"/>
                <w:lang w:eastAsia="zh-CN"/>
              </w:rPr>
              <w:t>注</w:t>
            </w:r>
            <w:r>
              <w:rPr>
                <w:rFonts w:ascii="宋体" w:hAnsi="宋体" w:cs="宋体"/>
                <w:szCs w:val="21"/>
              </w:rPr>
              <w:t>：</w:t>
            </w:r>
            <w:r w:rsidRPr="005331BB">
              <w:rPr>
                <w:rFonts w:asciiTheme="minorEastAsia" w:hAnsiTheme="minorEastAsia" w:cstheme="minorEastAsia"/>
                <w:bCs/>
                <w:sz w:val="18"/>
                <w:szCs w:val="18"/>
              </w:rPr>
              <w:t>①</w:t>
            </w:r>
            <w:r w:rsidR="005331BB" w:rsidRPr="005331BB">
              <w:rPr>
                <w:rFonts w:ascii="宋体" w:hAnsi="宋体"/>
                <w:lang w:eastAsia="zh-CN"/>
              </w:rPr>
              <w:t>技术参数在技术偏离表中明确响应，无明确响应不得分；</w:t>
            </w:r>
            <w:r w:rsidR="005331BB" w:rsidRPr="005331BB">
              <w:rPr>
                <w:rFonts w:asciiTheme="minorEastAsia" w:hAnsiTheme="minorEastAsia" w:cstheme="minorEastAsia"/>
                <w:bCs/>
                <w:sz w:val="18"/>
                <w:szCs w:val="18"/>
              </w:rPr>
              <w:t>②</w:t>
            </w:r>
            <w:r w:rsidRPr="005331BB">
              <w:rPr>
                <w:rFonts w:ascii="宋体" w:hAnsi="宋体"/>
                <w:lang w:eastAsia="zh-CN"/>
              </w:rPr>
              <w:t>带“▲”为重要技术参数与性能指标</w:t>
            </w:r>
            <w:r w:rsidR="005331BB" w:rsidRPr="005331BB">
              <w:rPr>
                <w:rFonts w:ascii="宋体" w:hAnsi="宋体"/>
                <w:lang w:eastAsia="zh-CN"/>
              </w:rPr>
              <w:t>，交货时</w:t>
            </w:r>
            <w:r w:rsidRPr="005331BB">
              <w:rPr>
                <w:rFonts w:ascii="宋体" w:hAnsi="宋体"/>
                <w:lang w:eastAsia="zh-CN"/>
              </w:rPr>
              <w:t>需投标人或产品制造商提供由国家认可第三方检测机构出具检验检测报告复印件及检验检测报告编号在全国认证认可信息公共服务平台上的查询截图；技术要求只作评审使用，不作为资格审查。</w:t>
            </w:r>
            <w:r w:rsidRPr="005331BB">
              <w:rPr>
                <w:rFonts w:asciiTheme="minorEastAsia" w:hAnsiTheme="minorEastAsia" w:cstheme="minorEastAsia"/>
                <w:bCs/>
                <w:sz w:val="18"/>
                <w:szCs w:val="18"/>
              </w:rPr>
              <w:t>③</w:t>
            </w:r>
            <w:r w:rsidRPr="005331BB">
              <w:rPr>
                <w:rFonts w:ascii="宋体" w:hAnsi="宋体"/>
                <w:lang w:eastAsia="zh-CN"/>
              </w:rPr>
              <w:t>投标人对提供的技术支持资料的真实性负责，并承担由此带来的一切法律责任和后果。</w:t>
            </w:r>
          </w:p>
        </w:tc>
        <w:tc>
          <w:tcPr>
            <w:tcW w:w="838" w:type="dxa"/>
            <w:vAlign w:val="center"/>
          </w:tcPr>
          <w:p w14:paraId="5800860B" w14:textId="77777777" w:rsidR="00290B98" w:rsidRDefault="00CF5C43">
            <w:pPr>
              <w:pStyle w:val="null3"/>
              <w:jc w:val="center"/>
              <w:rPr>
                <w:rFonts w:ascii="宋体" w:eastAsia="宋体" w:hAnsi="宋体" w:hint="default"/>
              </w:rPr>
            </w:pPr>
            <w:r>
              <w:rPr>
                <w:rFonts w:ascii="宋体" w:eastAsia="宋体" w:hAnsi="宋体"/>
                <w:lang w:eastAsia="zh-CN"/>
              </w:rPr>
              <w:t>42.6</w:t>
            </w:r>
          </w:p>
        </w:tc>
        <w:tc>
          <w:tcPr>
            <w:tcW w:w="877" w:type="dxa"/>
            <w:vAlign w:val="center"/>
          </w:tcPr>
          <w:p w14:paraId="27234969" w14:textId="77777777" w:rsidR="00290B98" w:rsidRDefault="00CF5C43">
            <w:pPr>
              <w:pStyle w:val="null3"/>
              <w:rPr>
                <w:rFonts w:ascii="宋体" w:eastAsia="宋体" w:hAnsi="宋体" w:hint="default"/>
              </w:rPr>
            </w:pPr>
            <w:r>
              <w:rPr>
                <w:rFonts w:ascii="宋体" w:eastAsia="宋体" w:hAnsi="宋体"/>
              </w:rPr>
              <w:t>客观</w:t>
            </w:r>
          </w:p>
        </w:tc>
        <w:tc>
          <w:tcPr>
            <w:tcW w:w="1710" w:type="dxa"/>
            <w:vAlign w:val="center"/>
          </w:tcPr>
          <w:p w14:paraId="0FC40CD3" w14:textId="77777777" w:rsidR="00290B98" w:rsidRDefault="00CF5C43">
            <w:pPr>
              <w:pStyle w:val="null3"/>
              <w:rPr>
                <w:rFonts w:ascii="宋体" w:eastAsia="宋体" w:hAnsi="宋体" w:hint="default"/>
              </w:rPr>
            </w:pPr>
            <w:r>
              <w:rPr>
                <w:rFonts w:ascii="宋体" w:eastAsia="宋体" w:hAnsi="宋体"/>
              </w:rPr>
              <w:t>其他相关证明材料</w:t>
            </w:r>
          </w:p>
          <w:p w14:paraId="6F2CBFA9" w14:textId="77777777" w:rsidR="00290B98" w:rsidRDefault="00CF5C43">
            <w:pPr>
              <w:pStyle w:val="null3"/>
              <w:rPr>
                <w:rFonts w:ascii="宋体" w:eastAsia="宋体" w:hAnsi="宋体" w:hint="default"/>
              </w:rPr>
            </w:pPr>
            <w:r>
              <w:rPr>
                <w:rFonts w:ascii="宋体" w:eastAsia="宋体" w:hAnsi="宋体"/>
              </w:rPr>
              <w:t>产品技术参数响应表</w:t>
            </w:r>
          </w:p>
          <w:p w14:paraId="22C19B66" w14:textId="77777777" w:rsidR="00290B98" w:rsidRDefault="00CF5C43">
            <w:pPr>
              <w:pStyle w:val="null3"/>
              <w:rPr>
                <w:rFonts w:ascii="宋体" w:eastAsia="宋体" w:hAnsi="宋体" w:hint="default"/>
              </w:rPr>
            </w:pPr>
            <w:r>
              <w:rPr>
                <w:rFonts w:ascii="宋体" w:eastAsia="宋体" w:hAnsi="宋体"/>
              </w:rPr>
              <w:t>商务应答表</w:t>
            </w:r>
          </w:p>
        </w:tc>
      </w:tr>
      <w:tr w:rsidR="00290B98" w14:paraId="2BC82476" w14:textId="77777777">
        <w:trPr>
          <w:jc w:val="center"/>
        </w:trPr>
        <w:tc>
          <w:tcPr>
            <w:tcW w:w="830" w:type="dxa"/>
            <w:vMerge/>
            <w:vAlign w:val="center"/>
          </w:tcPr>
          <w:p w14:paraId="7F0AB9B0" w14:textId="77777777" w:rsidR="00290B98" w:rsidRDefault="00290B98">
            <w:pPr>
              <w:jc w:val="center"/>
              <w:rPr>
                <w:rFonts w:ascii="宋体" w:eastAsia="宋体" w:hAnsi="宋体"/>
                <w:sz w:val="20"/>
                <w:szCs w:val="20"/>
              </w:rPr>
            </w:pPr>
          </w:p>
        </w:tc>
        <w:tc>
          <w:tcPr>
            <w:tcW w:w="730" w:type="dxa"/>
            <w:vAlign w:val="center"/>
          </w:tcPr>
          <w:p w14:paraId="59829B22" w14:textId="77777777" w:rsidR="00290B98" w:rsidRDefault="00CF5C43">
            <w:pPr>
              <w:pStyle w:val="null3"/>
              <w:jc w:val="center"/>
              <w:rPr>
                <w:rFonts w:ascii="宋体" w:eastAsia="宋体" w:hAnsi="宋体" w:hint="default"/>
              </w:rPr>
            </w:pPr>
            <w:r>
              <w:rPr>
                <w:rFonts w:ascii="宋体" w:eastAsia="宋体" w:hAnsi="宋体"/>
              </w:rPr>
              <w:t>履约能力</w:t>
            </w:r>
          </w:p>
        </w:tc>
        <w:tc>
          <w:tcPr>
            <w:tcW w:w="4701" w:type="dxa"/>
            <w:vAlign w:val="center"/>
          </w:tcPr>
          <w:p w14:paraId="02864D7C" w14:textId="77777777" w:rsidR="00290B98" w:rsidRDefault="00CF5C43">
            <w:pPr>
              <w:pStyle w:val="null3"/>
              <w:spacing w:line="320" w:lineRule="exact"/>
              <w:rPr>
                <w:rFonts w:ascii="宋体" w:eastAsia="宋体" w:hAnsi="宋体" w:hint="default"/>
              </w:rPr>
            </w:pPr>
            <w:r>
              <w:rPr>
                <w:rFonts w:ascii="宋体" w:eastAsia="宋体" w:hAnsi="宋体"/>
              </w:rPr>
              <w:t>1、提供投标人类似家具项目业绩合同，每提供一份得</w:t>
            </w:r>
            <w:r>
              <w:rPr>
                <w:rFonts w:ascii="宋体" w:eastAsia="宋体" w:hAnsi="宋体"/>
                <w:lang w:eastAsia="zh-CN"/>
              </w:rPr>
              <w:t>1</w:t>
            </w:r>
            <w:r>
              <w:rPr>
                <w:rFonts w:ascii="宋体" w:eastAsia="宋体" w:hAnsi="宋体"/>
              </w:rPr>
              <w:t>分，最多得</w:t>
            </w:r>
            <w:r>
              <w:rPr>
                <w:rFonts w:ascii="宋体" w:eastAsia="宋体" w:hAnsi="宋体"/>
                <w:lang w:eastAsia="zh-CN"/>
              </w:rPr>
              <w:t>5</w:t>
            </w:r>
            <w:r>
              <w:rPr>
                <w:rFonts w:ascii="宋体" w:eastAsia="宋体" w:hAnsi="宋体"/>
              </w:rPr>
              <w:t>分。（</w:t>
            </w:r>
            <w:r>
              <w:rPr>
                <w:rFonts w:ascii="宋体" w:eastAsia="宋体" w:hAnsi="宋体" w:cs="Times New Roman"/>
                <w:lang w:eastAsia="zh-CN"/>
              </w:rPr>
              <w:t>注：须提供供货合同、验收报告、银行回款单复印件加盖公章。不符合上述要求或未按要求提供有效证明文件的业绩在评审时将不予承认，不提供不得分。</w:t>
            </w:r>
            <w:r>
              <w:rPr>
                <w:rFonts w:ascii="宋体" w:eastAsia="宋体" w:hAnsi="宋体"/>
              </w:rPr>
              <w:t>）</w:t>
            </w:r>
          </w:p>
        </w:tc>
        <w:tc>
          <w:tcPr>
            <w:tcW w:w="838" w:type="dxa"/>
            <w:vAlign w:val="center"/>
          </w:tcPr>
          <w:p w14:paraId="75573143" w14:textId="77777777" w:rsidR="00290B98" w:rsidRDefault="00CF5C43">
            <w:pPr>
              <w:pStyle w:val="null3"/>
              <w:jc w:val="center"/>
              <w:rPr>
                <w:rFonts w:ascii="宋体" w:eastAsia="宋体" w:hAnsi="宋体" w:hint="default"/>
              </w:rPr>
            </w:pPr>
            <w:r>
              <w:rPr>
                <w:rFonts w:ascii="宋体" w:eastAsia="宋体" w:hAnsi="宋体"/>
                <w:lang w:eastAsia="zh-CN"/>
              </w:rPr>
              <w:t>5</w:t>
            </w:r>
            <w:r>
              <w:rPr>
                <w:rFonts w:ascii="宋体" w:eastAsia="宋体" w:hAnsi="宋体"/>
              </w:rPr>
              <w:t>.00</w:t>
            </w:r>
          </w:p>
        </w:tc>
        <w:tc>
          <w:tcPr>
            <w:tcW w:w="877" w:type="dxa"/>
            <w:vAlign w:val="center"/>
          </w:tcPr>
          <w:p w14:paraId="2D09BF6B" w14:textId="77777777" w:rsidR="00290B98" w:rsidRDefault="00CF5C43">
            <w:pPr>
              <w:pStyle w:val="null3"/>
              <w:rPr>
                <w:rFonts w:ascii="宋体" w:eastAsia="宋体" w:hAnsi="宋体" w:hint="default"/>
              </w:rPr>
            </w:pPr>
            <w:r>
              <w:rPr>
                <w:rFonts w:ascii="宋体" w:eastAsia="宋体" w:hAnsi="宋体"/>
              </w:rPr>
              <w:t>客观</w:t>
            </w:r>
          </w:p>
        </w:tc>
        <w:tc>
          <w:tcPr>
            <w:tcW w:w="1710" w:type="dxa"/>
            <w:vAlign w:val="center"/>
          </w:tcPr>
          <w:p w14:paraId="6A0141D0" w14:textId="77777777" w:rsidR="00290B98" w:rsidRDefault="00CF5C43">
            <w:pPr>
              <w:pStyle w:val="null3"/>
              <w:rPr>
                <w:rFonts w:ascii="宋体" w:eastAsia="宋体" w:hAnsi="宋体" w:hint="default"/>
              </w:rPr>
            </w:pPr>
            <w:r>
              <w:rPr>
                <w:rFonts w:ascii="宋体" w:eastAsia="宋体" w:hAnsi="宋体"/>
              </w:rPr>
              <w:t>其他相关证明材料</w:t>
            </w:r>
          </w:p>
          <w:p w14:paraId="4D46AF83" w14:textId="77777777" w:rsidR="00290B98" w:rsidRDefault="00CF5C43">
            <w:pPr>
              <w:pStyle w:val="null3"/>
              <w:rPr>
                <w:rFonts w:ascii="宋体" w:eastAsia="宋体" w:hAnsi="宋体" w:hint="default"/>
              </w:rPr>
            </w:pPr>
            <w:r>
              <w:rPr>
                <w:rFonts w:ascii="宋体" w:eastAsia="宋体" w:hAnsi="宋体"/>
              </w:rPr>
              <w:t>商务应答表</w:t>
            </w:r>
          </w:p>
        </w:tc>
      </w:tr>
      <w:tr w:rsidR="00290B98" w14:paraId="5F86A93A" w14:textId="77777777">
        <w:trPr>
          <w:jc w:val="center"/>
        </w:trPr>
        <w:tc>
          <w:tcPr>
            <w:tcW w:w="830" w:type="dxa"/>
            <w:vMerge/>
            <w:vAlign w:val="center"/>
          </w:tcPr>
          <w:p w14:paraId="382B7D9D" w14:textId="77777777" w:rsidR="00290B98" w:rsidRDefault="00290B98">
            <w:pPr>
              <w:jc w:val="center"/>
              <w:rPr>
                <w:rFonts w:ascii="宋体" w:eastAsia="宋体" w:hAnsi="宋体"/>
                <w:sz w:val="20"/>
                <w:szCs w:val="20"/>
              </w:rPr>
            </w:pPr>
          </w:p>
        </w:tc>
        <w:tc>
          <w:tcPr>
            <w:tcW w:w="730" w:type="dxa"/>
            <w:vAlign w:val="center"/>
          </w:tcPr>
          <w:p w14:paraId="777EB318" w14:textId="77777777" w:rsidR="00290B98" w:rsidRDefault="00CF5C43">
            <w:pPr>
              <w:pStyle w:val="null3"/>
              <w:jc w:val="center"/>
              <w:rPr>
                <w:rFonts w:ascii="宋体" w:eastAsia="宋体" w:hAnsi="宋体" w:hint="default"/>
              </w:rPr>
            </w:pPr>
            <w:r>
              <w:rPr>
                <w:rFonts w:ascii="宋体" w:eastAsia="宋体" w:hAnsi="宋体"/>
              </w:rPr>
              <w:t>实施方案</w:t>
            </w:r>
          </w:p>
        </w:tc>
        <w:tc>
          <w:tcPr>
            <w:tcW w:w="4701" w:type="dxa"/>
            <w:vAlign w:val="center"/>
          </w:tcPr>
          <w:p w14:paraId="52A98F5C" w14:textId="77777777" w:rsidR="00290B98" w:rsidRDefault="00CF5C43">
            <w:pPr>
              <w:pStyle w:val="a4"/>
              <w:widowControl/>
              <w:spacing w:after="0" w:line="320" w:lineRule="exact"/>
              <w:jc w:val="left"/>
              <w:rPr>
                <w:rFonts w:ascii="宋体" w:eastAsia="宋体" w:hAnsi="宋体" w:cs="Times New Roman"/>
                <w:sz w:val="20"/>
                <w:szCs w:val="20"/>
                <w:lang w:eastAsia="zh-Hans"/>
              </w:rPr>
            </w:pPr>
            <w:r>
              <w:rPr>
                <w:rFonts w:ascii="宋体" w:eastAsia="宋体" w:hAnsi="宋体" w:cs="Times New Roman" w:hint="eastAsia"/>
                <w:sz w:val="20"/>
                <w:szCs w:val="20"/>
                <w:lang w:eastAsia="zh-Hans"/>
              </w:rPr>
              <w:t>根据</w:t>
            </w:r>
            <w:r>
              <w:rPr>
                <w:rFonts w:ascii="宋体" w:eastAsia="宋体" w:hAnsi="宋体" w:cs="Times New Roman" w:hint="eastAsia"/>
                <w:sz w:val="20"/>
                <w:szCs w:val="20"/>
              </w:rPr>
              <w:t>投标人</w:t>
            </w:r>
            <w:r>
              <w:rPr>
                <w:rFonts w:ascii="宋体" w:eastAsia="宋体" w:hAnsi="宋体" w:cs="Times New Roman" w:hint="eastAsia"/>
                <w:sz w:val="20"/>
                <w:szCs w:val="20"/>
                <w:lang w:eastAsia="zh-Hans"/>
              </w:rPr>
              <w:t>对本项目提供的实施方案进行综合评审，包含：</w:t>
            </w:r>
          </w:p>
          <w:p w14:paraId="4DEDAF23" w14:textId="77777777" w:rsidR="00290B98" w:rsidRDefault="00CF5C43">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1、质量控制管理措施（①原材料供应质量控制措施、②生产过程质量控制措施、③成品质量控制措施）；</w:t>
            </w:r>
          </w:p>
          <w:p w14:paraId="3264AF14" w14:textId="77777777" w:rsidR="00290B98" w:rsidRDefault="00CF5C43">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2、项目进度方案（①项目整体进度计划时间安排、②货物运输安排及运输管理措施、③产品运输保护措施，产品卸车保护措施）；</w:t>
            </w:r>
          </w:p>
          <w:p w14:paraId="5B9D522E" w14:textId="77777777" w:rsidR="00290B98" w:rsidRDefault="00CF5C43">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3、安装实施措施（①安装人员配置、②文明安装施工环保措施、③安装突发应急情况管理措施、 ④安装调试完毕的计划安排）；</w:t>
            </w:r>
          </w:p>
          <w:p w14:paraId="3D66863A" w14:textId="77777777" w:rsidR="00290B98" w:rsidRDefault="00CF5C43">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lastRenderedPageBreak/>
              <w:t xml:space="preserve">以上10项（以序号①、②、③……为项数，共计10项）内容无缺项、无漏项且的得10分，其中每有一项内容存在缺项或漏项的扣1分，每项内容每有一处存在缺陷的扣0.5分，该项分值扣完为止，未提供不得分。 </w:t>
            </w:r>
          </w:p>
          <w:p w14:paraId="21383EE8" w14:textId="77777777" w:rsidR="00290B98" w:rsidRDefault="00CF5C43">
            <w:pPr>
              <w:pStyle w:val="null3"/>
              <w:spacing w:line="320" w:lineRule="exact"/>
              <w:rPr>
                <w:rFonts w:ascii="宋体" w:eastAsia="宋体" w:hAnsi="宋体" w:hint="default"/>
              </w:rPr>
            </w:pPr>
            <w:r>
              <w:rPr>
                <w:rFonts w:ascii="宋体" w:hAnsi="宋体" w:cs="宋体"/>
                <w:szCs w:val="21"/>
                <w:lang w:eastAsia="zh-CN"/>
              </w:rPr>
              <w:t>注</w:t>
            </w:r>
            <w:r>
              <w:rPr>
                <w:rFonts w:ascii="宋体" w:eastAsia="宋体" w:hAnsi="宋体" w:cs="Times New Roman"/>
                <w:kern w:val="2"/>
                <w:lang w:eastAsia="zh-CN"/>
              </w:rPr>
              <w:t>：“缺陷”是指：套用其他项目方案；或引用科学原理错误；或项目名称错误；或实施地点错误；或引用的法律法规、标准（方法）或其他规范性文件错误；或前后逻辑错误；或存在与本项目无关内容的任一情形。</w:t>
            </w:r>
          </w:p>
        </w:tc>
        <w:tc>
          <w:tcPr>
            <w:tcW w:w="838" w:type="dxa"/>
            <w:vAlign w:val="center"/>
          </w:tcPr>
          <w:p w14:paraId="05D209F9" w14:textId="77777777" w:rsidR="00290B98" w:rsidRDefault="00CF5C43">
            <w:pPr>
              <w:pStyle w:val="null3"/>
              <w:jc w:val="center"/>
              <w:rPr>
                <w:rFonts w:ascii="宋体" w:eastAsia="宋体" w:hAnsi="宋体" w:hint="default"/>
              </w:rPr>
            </w:pPr>
            <w:r>
              <w:rPr>
                <w:rFonts w:ascii="宋体" w:eastAsia="宋体" w:hAnsi="宋体"/>
              </w:rPr>
              <w:lastRenderedPageBreak/>
              <w:t>10.00</w:t>
            </w:r>
          </w:p>
        </w:tc>
        <w:tc>
          <w:tcPr>
            <w:tcW w:w="877" w:type="dxa"/>
            <w:vAlign w:val="center"/>
          </w:tcPr>
          <w:p w14:paraId="65D55811" w14:textId="77777777" w:rsidR="00290B98" w:rsidRDefault="00CF5C43">
            <w:pPr>
              <w:pStyle w:val="null3"/>
              <w:rPr>
                <w:rFonts w:ascii="宋体" w:eastAsia="宋体" w:hAnsi="宋体" w:hint="default"/>
              </w:rPr>
            </w:pPr>
            <w:r>
              <w:rPr>
                <w:rFonts w:ascii="宋体" w:eastAsia="宋体" w:hAnsi="宋体"/>
                <w:lang w:eastAsia="zh-CN"/>
              </w:rPr>
              <w:t>主观</w:t>
            </w:r>
          </w:p>
        </w:tc>
        <w:tc>
          <w:tcPr>
            <w:tcW w:w="1710" w:type="dxa"/>
            <w:vAlign w:val="center"/>
          </w:tcPr>
          <w:p w14:paraId="44A0705F" w14:textId="77777777" w:rsidR="00290B98" w:rsidRDefault="00CF5C43">
            <w:pPr>
              <w:pStyle w:val="null3"/>
              <w:rPr>
                <w:rFonts w:ascii="宋体" w:eastAsia="宋体" w:hAnsi="宋体" w:hint="default"/>
              </w:rPr>
            </w:pPr>
            <w:r>
              <w:rPr>
                <w:rFonts w:ascii="宋体" w:eastAsia="宋体" w:hAnsi="宋体"/>
              </w:rPr>
              <w:t>其他相关证明材料</w:t>
            </w:r>
          </w:p>
          <w:p w14:paraId="5A03D170" w14:textId="77777777" w:rsidR="00290B98" w:rsidRDefault="00CF5C43">
            <w:pPr>
              <w:pStyle w:val="null3"/>
              <w:rPr>
                <w:rFonts w:ascii="宋体" w:eastAsia="宋体" w:hAnsi="宋体" w:hint="default"/>
              </w:rPr>
            </w:pPr>
            <w:r>
              <w:rPr>
                <w:rFonts w:ascii="宋体" w:eastAsia="宋体" w:hAnsi="宋体"/>
              </w:rPr>
              <w:t>商务应答表</w:t>
            </w:r>
          </w:p>
        </w:tc>
      </w:tr>
      <w:tr w:rsidR="00290B98" w14:paraId="0DF2B6E4" w14:textId="77777777">
        <w:trPr>
          <w:jc w:val="center"/>
        </w:trPr>
        <w:tc>
          <w:tcPr>
            <w:tcW w:w="830" w:type="dxa"/>
            <w:vMerge/>
            <w:vAlign w:val="center"/>
          </w:tcPr>
          <w:p w14:paraId="4C16F35B" w14:textId="77777777" w:rsidR="00290B98" w:rsidRDefault="00290B98">
            <w:pPr>
              <w:jc w:val="center"/>
              <w:rPr>
                <w:rFonts w:ascii="宋体" w:eastAsia="宋体" w:hAnsi="宋体"/>
                <w:sz w:val="20"/>
                <w:szCs w:val="20"/>
              </w:rPr>
            </w:pPr>
          </w:p>
        </w:tc>
        <w:tc>
          <w:tcPr>
            <w:tcW w:w="730" w:type="dxa"/>
            <w:vAlign w:val="center"/>
          </w:tcPr>
          <w:p w14:paraId="2782C95F" w14:textId="77777777" w:rsidR="00290B98" w:rsidRDefault="00CF5C43">
            <w:pPr>
              <w:pStyle w:val="null3"/>
              <w:jc w:val="center"/>
              <w:rPr>
                <w:rFonts w:ascii="宋体" w:eastAsia="宋体" w:hAnsi="宋体" w:hint="default"/>
              </w:rPr>
            </w:pPr>
            <w:r>
              <w:rPr>
                <w:rFonts w:ascii="宋体" w:eastAsia="宋体" w:hAnsi="宋体"/>
              </w:rPr>
              <w:t>售后服务</w:t>
            </w:r>
          </w:p>
        </w:tc>
        <w:tc>
          <w:tcPr>
            <w:tcW w:w="4701" w:type="dxa"/>
            <w:vAlign w:val="center"/>
          </w:tcPr>
          <w:p w14:paraId="5F73F6C9" w14:textId="77777777" w:rsidR="00290B98" w:rsidRDefault="00CF5C43">
            <w:pPr>
              <w:widowControl/>
              <w:spacing w:line="320" w:lineRule="exact"/>
              <w:jc w:val="left"/>
              <w:rPr>
                <w:rFonts w:ascii="宋体" w:eastAsia="宋体" w:hAnsi="宋体" w:cs="仿宋"/>
                <w:kern w:val="0"/>
                <w:sz w:val="20"/>
                <w:szCs w:val="20"/>
                <w:lang w:eastAsia="zh-Hans"/>
              </w:rPr>
            </w:pPr>
            <w:r>
              <w:rPr>
                <w:rFonts w:ascii="宋体" w:eastAsia="宋体" w:hAnsi="宋体" w:cs="仿宋" w:hint="eastAsia"/>
                <w:sz w:val="20"/>
                <w:szCs w:val="20"/>
              </w:rPr>
              <w:t>1、为</w:t>
            </w:r>
            <w:r>
              <w:rPr>
                <w:rFonts w:ascii="宋体" w:eastAsia="宋体" w:hAnsi="宋体" w:cs="仿宋" w:hint="eastAsia"/>
                <w:kern w:val="0"/>
                <w:sz w:val="20"/>
                <w:szCs w:val="20"/>
                <w:lang w:eastAsia="zh-Hans"/>
              </w:rPr>
              <w:t>本项目拟定的售后服务方案，包括但不限于以下内容:①本地化售后服务网点以及技术人员联系电话；②售后服务应急处理措施以及故障时间响应；③售后维修技术指导课程进度安排；④易耗品备件配备供应措施。完整体现上述方案内容且适用于本项目的得</w:t>
            </w:r>
            <w:r>
              <w:rPr>
                <w:rFonts w:ascii="宋体" w:eastAsia="宋体" w:hAnsi="宋体" w:cs="仿宋" w:hint="eastAsia"/>
                <w:kern w:val="0"/>
                <w:sz w:val="20"/>
                <w:szCs w:val="20"/>
              </w:rPr>
              <w:t>10</w:t>
            </w:r>
            <w:r>
              <w:rPr>
                <w:rFonts w:ascii="宋体" w:eastAsia="宋体" w:hAnsi="宋体" w:cs="仿宋" w:hint="eastAsia"/>
                <w:kern w:val="0"/>
                <w:sz w:val="20"/>
                <w:szCs w:val="20"/>
                <w:lang w:eastAsia="zh-Hans"/>
              </w:rPr>
              <w:t>分；有一项缺失扣2</w:t>
            </w:r>
            <w:r>
              <w:rPr>
                <w:rFonts w:ascii="宋体" w:eastAsia="宋体" w:hAnsi="宋体" w:cs="仿宋" w:hint="eastAsia"/>
                <w:kern w:val="0"/>
                <w:sz w:val="20"/>
                <w:szCs w:val="20"/>
              </w:rPr>
              <w:t>.5</w:t>
            </w:r>
            <w:r>
              <w:rPr>
                <w:rFonts w:ascii="宋体" w:eastAsia="宋体" w:hAnsi="宋体" w:cs="仿宋" w:hint="eastAsia"/>
                <w:kern w:val="0"/>
                <w:sz w:val="20"/>
                <w:szCs w:val="20"/>
                <w:lang w:eastAsia="zh-Hans"/>
              </w:rPr>
              <w:t>分，每有一项缺陷扣1</w:t>
            </w:r>
            <w:r>
              <w:rPr>
                <w:rFonts w:ascii="宋体" w:eastAsia="宋体" w:hAnsi="宋体" w:cs="仿宋" w:hint="eastAsia"/>
                <w:kern w:val="0"/>
                <w:sz w:val="20"/>
                <w:szCs w:val="20"/>
              </w:rPr>
              <w:t>.25</w:t>
            </w:r>
            <w:r>
              <w:rPr>
                <w:rFonts w:ascii="宋体" w:eastAsia="宋体" w:hAnsi="宋体" w:cs="仿宋" w:hint="eastAsia"/>
                <w:kern w:val="0"/>
                <w:sz w:val="20"/>
                <w:szCs w:val="20"/>
                <w:lang w:eastAsia="zh-Hans"/>
              </w:rPr>
              <w:t>分，扣完为止。</w:t>
            </w:r>
          </w:p>
          <w:p w14:paraId="7ECF5C7A" w14:textId="77777777" w:rsidR="00290B98" w:rsidRDefault="00CF5C43">
            <w:pPr>
              <w:widowControl/>
              <w:spacing w:line="320" w:lineRule="exact"/>
              <w:jc w:val="left"/>
              <w:rPr>
                <w:rFonts w:ascii="宋体" w:eastAsia="宋体" w:hAnsi="宋体" w:cs="仿宋"/>
                <w:kern w:val="0"/>
                <w:sz w:val="20"/>
                <w:szCs w:val="20"/>
                <w:lang w:eastAsia="zh-Hans"/>
              </w:rPr>
            </w:pPr>
            <w:r>
              <w:rPr>
                <w:rFonts w:ascii="宋体" w:eastAsia="宋体" w:hAnsi="宋体" w:cs="仿宋" w:hint="eastAsia"/>
                <w:kern w:val="0"/>
                <w:sz w:val="20"/>
                <w:szCs w:val="20"/>
              </w:rPr>
              <w:t>2、</w:t>
            </w:r>
            <w:r>
              <w:rPr>
                <w:rFonts w:ascii="宋体" w:eastAsia="宋体" w:hAnsi="宋体" w:cs="仿宋" w:hint="eastAsia"/>
                <w:kern w:val="0"/>
                <w:sz w:val="20"/>
                <w:szCs w:val="20"/>
                <w:lang w:eastAsia="zh-Hans"/>
              </w:rPr>
              <w:t>质保期在满足招标文件要求的基础上每增加</w:t>
            </w:r>
            <w:r>
              <w:rPr>
                <w:rFonts w:ascii="宋体" w:eastAsia="宋体" w:hAnsi="宋体" w:cs="仿宋" w:hint="eastAsia"/>
                <w:kern w:val="0"/>
                <w:sz w:val="20"/>
                <w:szCs w:val="20"/>
              </w:rPr>
              <w:t>1</w:t>
            </w:r>
            <w:r>
              <w:rPr>
                <w:rFonts w:ascii="宋体" w:eastAsia="宋体" w:hAnsi="宋体" w:cs="仿宋" w:hint="eastAsia"/>
                <w:kern w:val="0"/>
                <w:sz w:val="20"/>
                <w:szCs w:val="20"/>
                <w:lang w:eastAsia="zh-Hans"/>
              </w:rPr>
              <w:t>年得</w:t>
            </w:r>
            <w:r>
              <w:rPr>
                <w:rFonts w:ascii="宋体" w:eastAsia="宋体" w:hAnsi="宋体" w:cs="仿宋" w:hint="eastAsia"/>
                <w:kern w:val="0"/>
                <w:sz w:val="20"/>
                <w:szCs w:val="20"/>
              </w:rPr>
              <w:t>0.5</w:t>
            </w:r>
            <w:r>
              <w:rPr>
                <w:rFonts w:ascii="宋体" w:eastAsia="宋体" w:hAnsi="宋体" w:cs="仿宋" w:hint="eastAsia"/>
                <w:kern w:val="0"/>
                <w:sz w:val="20"/>
                <w:szCs w:val="20"/>
                <w:lang w:eastAsia="zh-Hans"/>
              </w:rPr>
              <w:t>分，最多得</w:t>
            </w:r>
            <w:r>
              <w:rPr>
                <w:rFonts w:ascii="宋体" w:eastAsia="宋体" w:hAnsi="宋体" w:cs="仿宋" w:hint="eastAsia"/>
                <w:kern w:val="0"/>
                <w:sz w:val="20"/>
                <w:szCs w:val="20"/>
              </w:rPr>
              <w:t>1</w:t>
            </w:r>
            <w:r>
              <w:rPr>
                <w:rFonts w:ascii="宋体" w:eastAsia="宋体" w:hAnsi="宋体" w:cs="仿宋" w:hint="eastAsia"/>
                <w:kern w:val="0"/>
                <w:sz w:val="20"/>
                <w:szCs w:val="20"/>
                <w:lang w:eastAsia="zh-Hans"/>
              </w:rPr>
              <w:t>分。（提供承诺函并加盖投标人鲜章）</w:t>
            </w:r>
          </w:p>
          <w:p w14:paraId="741B9DE4" w14:textId="77777777" w:rsidR="00290B98" w:rsidRDefault="00CF5C43">
            <w:pPr>
              <w:pStyle w:val="null3"/>
              <w:spacing w:line="320" w:lineRule="exact"/>
              <w:rPr>
                <w:rFonts w:ascii="宋体" w:eastAsia="宋体" w:hAnsi="宋体" w:hint="default"/>
              </w:rPr>
            </w:pPr>
            <w:r>
              <w:rPr>
                <w:rFonts w:ascii="宋体" w:hAnsi="宋体" w:cs="宋体"/>
                <w:szCs w:val="21"/>
                <w:lang w:eastAsia="zh-CN"/>
              </w:rPr>
              <w:t>注</w:t>
            </w:r>
            <w:r>
              <w:rPr>
                <w:rFonts w:ascii="宋体" w:eastAsia="宋体" w:hAnsi="宋体" w:cs="Times New Roman"/>
                <w:kern w:val="2"/>
                <w:lang w:eastAsia="zh-CN"/>
              </w:rPr>
              <w:t>：</w:t>
            </w:r>
            <w:r>
              <w:rPr>
                <w:rFonts w:ascii="宋体" w:eastAsia="宋体" w:hAnsi="宋体" w:cs="仿宋"/>
                <w:lang w:eastAsia="zh-CN"/>
              </w:rPr>
              <w:t>“缺陷”是指：套用其他项目方案；或引用科学原理错误；或项目名称错误；或实施地点错误；或引用的法律法规、标准（方法）或其他规范性文件错误；或前后逻辑错误；或存在与本项目无关内容的任一情形。</w:t>
            </w:r>
          </w:p>
        </w:tc>
        <w:tc>
          <w:tcPr>
            <w:tcW w:w="838" w:type="dxa"/>
            <w:vAlign w:val="center"/>
          </w:tcPr>
          <w:p w14:paraId="6285317B" w14:textId="77777777" w:rsidR="00290B98" w:rsidRDefault="00CF5C43">
            <w:pPr>
              <w:pStyle w:val="null3"/>
              <w:jc w:val="center"/>
              <w:rPr>
                <w:rFonts w:ascii="宋体" w:eastAsia="宋体" w:hAnsi="宋体" w:hint="default"/>
              </w:rPr>
            </w:pPr>
            <w:r>
              <w:rPr>
                <w:rFonts w:ascii="宋体" w:eastAsia="宋体" w:hAnsi="宋体"/>
              </w:rPr>
              <w:t>1</w:t>
            </w:r>
            <w:r>
              <w:rPr>
                <w:rFonts w:ascii="宋体" w:eastAsia="宋体" w:hAnsi="宋体"/>
                <w:lang w:eastAsia="zh-CN"/>
              </w:rPr>
              <w:t>1</w:t>
            </w:r>
            <w:r>
              <w:rPr>
                <w:rFonts w:ascii="宋体" w:eastAsia="宋体" w:hAnsi="宋体"/>
              </w:rPr>
              <w:t>.00</w:t>
            </w:r>
          </w:p>
        </w:tc>
        <w:tc>
          <w:tcPr>
            <w:tcW w:w="877" w:type="dxa"/>
            <w:vAlign w:val="center"/>
          </w:tcPr>
          <w:p w14:paraId="2AC82D0D" w14:textId="77777777" w:rsidR="00290B98" w:rsidRDefault="00CF5C43">
            <w:pPr>
              <w:pStyle w:val="null3"/>
              <w:rPr>
                <w:rFonts w:ascii="宋体" w:eastAsia="宋体" w:hAnsi="宋体" w:hint="default"/>
                <w:lang w:eastAsia="zh-CN"/>
              </w:rPr>
            </w:pPr>
            <w:r>
              <w:rPr>
                <w:rFonts w:ascii="宋体" w:eastAsia="宋体" w:hAnsi="宋体"/>
                <w:lang w:eastAsia="zh-CN"/>
              </w:rPr>
              <w:t>主观</w:t>
            </w:r>
          </w:p>
        </w:tc>
        <w:tc>
          <w:tcPr>
            <w:tcW w:w="1710" w:type="dxa"/>
            <w:vAlign w:val="center"/>
          </w:tcPr>
          <w:p w14:paraId="5C751EBE" w14:textId="77777777" w:rsidR="00290B98" w:rsidRDefault="00CF5C43">
            <w:pPr>
              <w:pStyle w:val="null3"/>
              <w:rPr>
                <w:rFonts w:ascii="宋体" w:eastAsia="宋体" w:hAnsi="宋体" w:hint="default"/>
              </w:rPr>
            </w:pPr>
            <w:r>
              <w:rPr>
                <w:rFonts w:ascii="宋体" w:eastAsia="宋体" w:hAnsi="宋体"/>
              </w:rPr>
              <w:t>其他相关证明材料</w:t>
            </w:r>
          </w:p>
          <w:p w14:paraId="142942C2" w14:textId="77777777" w:rsidR="00290B98" w:rsidRDefault="00CF5C43">
            <w:pPr>
              <w:pStyle w:val="null3"/>
              <w:rPr>
                <w:rFonts w:ascii="宋体" w:eastAsia="宋体" w:hAnsi="宋体" w:hint="default"/>
              </w:rPr>
            </w:pPr>
            <w:r>
              <w:rPr>
                <w:rFonts w:ascii="宋体" w:eastAsia="宋体" w:hAnsi="宋体"/>
              </w:rPr>
              <w:t>商务应答表</w:t>
            </w:r>
          </w:p>
        </w:tc>
      </w:tr>
      <w:tr w:rsidR="00290B98" w14:paraId="7BAD7CB9" w14:textId="77777777">
        <w:trPr>
          <w:jc w:val="center"/>
        </w:trPr>
        <w:tc>
          <w:tcPr>
            <w:tcW w:w="830" w:type="dxa"/>
            <w:vMerge/>
            <w:vAlign w:val="center"/>
          </w:tcPr>
          <w:p w14:paraId="335EF4F6" w14:textId="77777777" w:rsidR="00290B98" w:rsidRDefault="00290B98">
            <w:pPr>
              <w:jc w:val="center"/>
              <w:rPr>
                <w:rFonts w:ascii="宋体" w:eastAsia="宋体" w:hAnsi="宋体"/>
                <w:sz w:val="20"/>
                <w:szCs w:val="20"/>
              </w:rPr>
            </w:pPr>
          </w:p>
        </w:tc>
        <w:tc>
          <w:tcPr>
            <w:tcW w:w="730" w:type="dxa"/>
            <w:vAlign w:val="center"/>
          </w:tcPr>
          <w:p w14:paraId="5CE85AAE" w14:textId="77777777" w:rsidR="00290B98" w:rsidRDefault="00CF5C43">
            <w:pPr>
              <w:pStyle w:val="null3"/>
              <w:jc w:val="center"/>
              <w:rPr>
                <w:rFonts w:ascii="宋体" w:eastAsia="宋体" w:hAnsi="宋体" w:hint="default"/>
              </w:rPr>
            </w:pPr>
            <w:r>
              <w:rPr>
                <w:rFonts w:ascii="宋体" w:eastAsia="宋体" w:hAnsi="宋体"/>
              </w:rPr>
              <w:t>环境标志</w:t>
            </w:r>
          </w:p>
        </w:tc>
        <w:tc>
          <w:tcPr>
            <w:tcW w:w="4701" w:type="dxa"/>
            <w:vAlign w:val="center"/>
          </w:tcPr>
          <w:p w14:paraId="58EBB2D4" w14:textId="77777777" w:rsidR="00290B98" w:rsidRDefault="00CF5C43">
            <w:pPr>
              <w:pStyle w:val="null3"/>
              <w:spacing w:line="320" w:lineRule="exact"/>
              <w:rPr>
                <w:rFonts w:ascii="宋体" w:eastAsia="宋体" w:hAnsi="宋体" w:hint="default"/>
              </w:rPr>
            </w:pPr>
            <w:r>
              <w:rPr>
                <w:rFonts w:ascii="宋体" w:eastAsia="宋体" w:hAnsi="宋体"/>
              </w:rPr>
              <w:t>投标产品中每有一项产品属于节能产品或环境标志品目清单范围认证的得</w:t>
            </w:r>
            <w:r>
              <w:rPr>
                <w:rFonts w:ascii="宋体" w:eastAsia="宋体" w:hAnsi="宋体"/>
                <w:lang w:eastAsia="zh-CN"/>
              </w:rPr>
              <w:t>0.7</w:t>
            </w:r>
            <w:r>
              <w:rPr>
                <w:rFonts w:ascii="宋体" w:eastAsia="宋体" w:hAnsi="宋体"/>
              </w:rPr>
              <w:t>分，最高</w:t>
            </w:r>
            <w:r>
              <w:rPr>
                <w:rFonts w:ascii="宋体" w:eastAsia="宋体" w:hAnsi="宋体"/>
                <w:lang w:eastAsia="zh-CN"/>
              </w:rPr>
              <w:t>1.4</w:t>
            </w:r>
            <w:r>
              <w:rPr>
                <w:rFonts w:ascii="宋体" w:eastAsia="宋体" w:hAnsi="宋体"/>
              </w:rPr>
              <w:t>分。投标人应提供国家确定的认证机构出具的、处于有效期之内的节能产品或环境标志产品认证证书复印资料（国家强制性要求的产品除外）。</w:t>
            </w:r>
          </w:p>
        </w:tc>
        <w:tc>
          <w:tcPr>
            <w:tcW w:w="838" w:type="dxa"/>
            <w:vAlign w:val="center"/>
          </w:tcPr>
          <w:p w14:paraId="65386540" w14:textId="77777777" w:rsidR="00290B98" w:rsidRDefault="00CF5C43">
            <w:pPr>
              <w:pStyle w:val="null3"/>
              <w:jc w:val="center"/>
              <w:rPr>
                <w:rFonts w:ascii="宋体" w:eastAsia="宋体" w:hAnsi="宋体" w:hint="default"/>
                <w:lang w:eastAsia="zh-CN"/>
              </w:rPr>
            </w:pPr>
            <w:r>
              <w:rPr>
                <w:rFonts w:ascii="宋体" w:eastAsia="宋体" w:hAnsi="宋体"/>
                <w:lang w:eastAsia="zh-CN"/>
              </w:rPr>
              <w:t>1</w:t>
            </w:r>
            <w:r>
              <w:rPr>
                <w:rFonts w:ascii="宋体" w:eastAsia="宋体" w:hAnsi="宋体"/>
              </w:rPr>
              <w:t>.</w:t>
            </w:r>
            <w:r>
              <w:rPr>
                <w:rFonts w:ascii="宋体" w:eastAsia="宋体" w:hAnsi="宋体"/>
                <w:lang w:eastAsia="zh-CN"/>
              </w:rPr>
              <w:t>4</w:t>
            </w:r>
          </w:p>
        </w:tc>
        <w:tc>
          <w:tcPr>
            <w:tcW w:w="877" w:type="dxa"/>
            <w:vAlign w:val="center"/>
          </w:tcPr>
          <w:p w14:paraId="3F913A37" w14:textId="77777777" w:rsidR="00290B98" w:rsidRDefault="00CF5C43">
            <w:pPr>
              <w:pStyle w:val="null3"/>
              <w:rPr>
                <w:rFonts w:ascii="宋体" w:eastAsia="宋体" w:hAnsi="宋体" w:hint="default"/>
              </w:rPr>
            </w:pPr>
            <w:r>
              <w:rPr>
                <w:rFonts w:ascii="宋体" w:eastAsia="宋体" w:hAnsi="宋体"/>
              </w:rPr>
              <w:t>客观</w:t>
            </w:r>
          </w:p>
        </w:tc>
        <w:tc>
          <w:tcPr>
            <w:tcW w:w="1710" w:type="dxa"/>
            <w:vAlign w:val="center"/>
          </w:tcPr>
          <w:p w14:paraId="41733462" w14:textId="77777777" w:rsidR="00290B98" w:rsidRDefault="00CF5C43">
            <w:pPr>
              <w:pStyle w:val="null3"/>
              <w:rPr>
                <w:rFonts w:ascii="宋体" w:eastAsia="宋体" w:hAnsi="宋体" w:hint="default"/>
              </w:rPr>
            </w:pPr>
            <w:r>
              <w:rPr>
                <w:rFonts w:ascii="宋体" w:eastAsia="宋体" w:hAnsi="宋体"/>
              </w:rPr>
              <w:t>其他相关证明材料</w:t>
            </w:r>
          </w:p>
        </w:tc>
      </w:tr>
    </w:tbl>
    <w:p w14:paraId="4996BF57" w14:textId="77777777" w:rsidR="00290B98" w:rsidRDefault="00290B98"/>
    <w:sectPr w:rsidR="00290B98">
      <w:pgSz w:w="11906" w:h="16838"/>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9E320" w14:textId="77777777" w:rsidR="004C35D4" w:rsidRDefault="004C35D4" w:rsidP="00C821AC">
      <w:r>
        <w:separator/>
      </w:r>
    </w:p>
  </w:endnote>
  <w:endnote w:type="continuationSeparator" w:id="0">
    <w:p w14:paraId="5E1ABB0C" w14:textId="77777777" w:rsidR="004C35D4" w:rsidRDefault="004C35D4" w:rsidP="00C821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2CB035" w14:textId="77777777" w:rsidR="004C35D4" w:rsidRDefault="004C35D4" w:rsidP="00C821AC">
      <w:r>
        <w:separator/>
      </w:r>
    </w:p>
  </w:footnote>
  <w:footnote w:type="continuationSeparator" w:id="0">
    <w:p w14:paraId="286F9ABE" w14:textId="77777777" w:rsidR="004C35D4" w:rsidRDefault="004C35D4" w:rsidP="00C821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BB5CBA2"/>
    <w:multiLevelType w:val="singleLevel"/>
    <w:tmpl w:val="DBB5CBA2"/>
    <w:lvl w:ilvl="0">
      <w:start w:val="1"/>
      <w:numFmt w:val="chineseCounting"/>
      <w:suff w:val="nothing"/>
      <w:lvlText w:val="%1、"/>
      <w:lvlJc w:val="left"/>
      <w:rPr>
        <w:rFonts w:hint="eastAsia"/>
      </w:rPr>
    </w:lvl>
  </w:abstractNum>
  <w:abstractNum w:abstractNumId="1" w15:restartNumberingAfterBreak="0">
    <w:nsid w:val="F205169A"/>
    <w:multiLevelType w:val="singleLevel"/>
    <w:tmpl w:val="F205169A"/>
    <w:lvl w:ilvl="0">
      <w:start w:val="5"/>
      <w:numFmt w:val="chineseCounting"/>
      <w:suff w:val="nothing"/>
      <w:lvlText w:val="%1、"/>
      <w:lvlJc w:val="left"/>
      <w:rPr>
        <w:rFonts w:hint="eastAsia"/>
      </w:rPr>
    </w:lvl>
  </w:abstractNum>
  <w:abstractNum w:abstractNumId="2" w15:restartNumberingAfterBreak="0">
    <w:nsid w:val="4D1E5EF0"/>
    <w:multiLevelType w:val="singleLevel"/>
    <w:tmpl w:val="4D1E5EF0"/>
    <w:lvl w:ilvl="0">
      <w:start w:val="1"/>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1F21090A"/>
    <w:rsid w:val="00290B98"/>
    <w:rsid w:val="00317A88"/>
    <w:rsid w:val="00344EF7"/>
    <w:rsid w:val="004C35D4"/>
    <w:rsid w:val="005331BB"/>
    <w:rsid w:val="0067279E"/>
    <w:rsid w:val="007C5219"/>
    <w:rsid w:val="00986C25"/>
    <w:rsid w:val="00A7341B"/>
    <w:rsid w:val="00C821AC"/>
    <w:rsid w:val="00CF5C43"/>
    <w:rsid w:val="00DA2738"/>
    <w:rsid w:val="00EB59E8"/>
    <w:rsid w:val="00F66F6E"/>
    <w:rsid w:val="09B40413"/>
    <w:rsid w:val="14164D9C"/>
    <w:rsid w:val="14C12DE9"/>
    <w:rsid w:val="1910625E"/>
    <w:rsid w:val="1F21090A"/>
    <w:rsid w:val="1F8D4C32"/>
    <w:rsid w:val="203767C6"/>
    <w:rsid w:val="227B5276"/>
    <w:rsid w:val="29B7690A"/>
    <w:rsid w:val="2DDD275B"/>
    <w:rsid w:val="3443124A"/>
    <w:rsid w:val="352413AD"/>
    <w:rsid w:val="360B1E2F"/>
    <w:rsid w:val="3DF5589F"/>
    <w:rsid w:val="4023367A"/>
    <w:rsid w:val="419C4A08"/>
    <w:rsid w:val="41E00E74"/>
    <w:rsid w:val="42547973"/>
    <w:rsid w:val="48AF2AEE"/>
    <w:rsid w:val="55BC034B"/>
    <w:rsid w:val="5AFB6BFD"/>
    <w:rsid w:val="615208A9"/>
    <w:rsid w:val="636E73D6"/>
    <w:rsid w:val="657F3B1C"/>
    <w:rsid w:val="66FA0961"/>
    <w:rsid w:val="673E59E5"/>
    <w:rsid w:val="6D673FF6"/>
    <w:rsid w:val="6E4A72CB"/>
    <w:rsid w:val="70CE7706"/>
    <w:rsid w:val="74466DED"/>
    <w:rsid w:val="769A33C1"/>
    <w:rsid w:val="79CD31AD"/>
    <w:rsid w:val="7B7C0780"/>
    <w:rsid w:val="7BE814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4CB252"/>
  <w15:docId w15:val="{C33B418A-8323-40F9-B0D5-3623A1672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nhideWhenUsed="1" w:qFormat="1"/>
    <w:lsdException w:name="caption" w:semiHidden="1" w:unhideWhenUsed="1" w:qFormat="1"/>
    <w:lsdException w:name="Title" w:qFormat="1"/>
    <w:lsdException w:name="Default Paragraph Font" w:semiHidden="1" w:uiPriority="1" w:unhideWhenUsed="1" w:qFormat="1"/>
    <w:lsdException w:name="Body Text" w:qFormat="1"/>
    <w:lsdException w:name="Subtitle" w:qFormat="1"/>
    <w:lsdException w:name="Body Text 2"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qFormat/>
    <w:pPr>
      <w:jc w:val="center"/>
    </w:pPr>
  </w:style>
  <w:style w:type="paragraph" w:styleId="a3">
    <w:name w:val="Normal Indent"/>
    <w:basedOn w:val="a"/>
    <w:unhideWhenUsed/>
    <w:qFormat/>
    <w:pPr>
      <w:ind w:firstLineChars="200" w:firstLine="420"/>
      <w:jc w:val="left"/>
    </w:pPr>
  </w:style>
  <w:style w:type="paragraph" w:styleId="a4">
    <w:name w:val="Body Text"/>
    <w:basedOn w:val="a"/>
    <w:qFormat/>
    <w:pPr>
      <w:spacing w:after="120"/>
    </w:pPr>
  </w:style>
  <w:style w:type="paragraph" w:styleId="a5">
    <w:name w:val="Plain Text"/>
    <w:basedOn w:val="a"/>
    <w:next w:val="a3"/>
    <w:qFormat/>
    <w:rPr>
      <w:rFonts w:ascii="宋体" w:hAnsi="Courier New"/>
      <w:kern w:val="0"/>
      <w:sz w:val="20"/>
      <w:szCs w:val="21"/>
    </w:rPr>
  </w:style>
  <w:style w:type="paragraph" w:customStyle="1" w:styleId="022">
    <w:name w:val="02、首行缩进2字符正文"/>
    <w:basedOn w:val="a"/>
    <w:qFormat/>
    <w:pPr>
      <w:tabs>
        <w:tab w:val="left" w:pos="0"/>
      </w:tabs>
      <w:wordWrap w:val="0"/>
      <w:topLinePunct/>
      <w:spacing w:line="520" w:lineRule="exact"/>
      <w:ind w:firstLineChars="200" w:firstLine="480"/>
    </w:pPr>
  </w:style>
  <w:style w:type="paragraph" w:customStyle="1" w:styleId="20">
    <w:name w:val="样式 首行缩进:  2 字符"/>
    <w:basedOn w:val="a"/>
    <w:qFormat/>
    <w:pPr>
      <w:ind w:firstLine="200"/>
    </w:pPr>
    <w:rPr>
      <w:rFonts w:ascii="宋体" w:eastAsia="宋体" w:hAnsi="宋体"/>
      <w:sz w:val="24"/>
      <w:szCs w:val="24"/>
    </w:rPr>
  </w:style>
  <w:style w:type="paragraph" w:customStyle="1" w:styleId="null3">
    <w:name w:val="null3"/>
    <w:hidden/>
    <w:qFormat/>
    <w:rPr>
      <w:rFonts w:hint="eastAsia"/>
      <w:lang w:eastAsia="zh-Hans"/>
    </w:rPr>
  </w:style>
  <w:style w:type="character" w:customStyle="1" w:styleId="font31">
    <w:name w:val="font31"/>
    <w:basedOn w:val="a0"/>
    <w:qFormat/>
    <w:rPr>
      <w:rFonts w:ascii="宋体" w:eastAsia="宋体" w:hAnsi="宋体" w:hint="eastAsia"/>
      <w:color w:val="000000"/>
      <w:sz w:val="20"/>
      <w:szCs w:val="20"/>
      <w:u w:val="none"/>
    </w:rPr>
  </w:style>
  <w:style w:type="character" w:customStyle="1" w:styleId="font81">
    <w:name w:val="font81"/>
    <w:basedOn w:val="a0"/>
    <w:qFormat/>
    <w:rPr>
      <w:rFonts w:ascii="Times New Roman" w:hAnsi="Times New Roman" w:cs="Times New Roman" w:hint="default"/>
      <w:color w:val="000000"/>
      <w:sz w:val="20"/>
      <w:szCs w:val="20"/>
      <w:u w:val="none"/>
    </w:rPr>
  </w:style>
  <w:style w:type="character" w:customStyle="1" w:styleId="font91">
    <w:name w:val="font91"/>
    <w:basedOn w:val="a0"/>
    <w:qFormat/>
    <w:rPr>
      <w:rFonts w:ascii="Arial" w:hAnsi="Arial" w:cs="Arial" w:hint="default"/>
      <w:color w:val="000000"/>
      <w:sz w:val="20"/>
      <w:szCs w:val="20"/>
      <w:u w:val="none"/>
    </w:rPr>
  </w:style>
  <w:style w:type="paragraph" w:styleId="a6">
    <w:name w:val="header"/>
    <w:basedOn w:val="a"/>
    <w:link w:val="a7"/>
    <w:rsid w:val="00C821AC"/>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C821AC"/>
    <w:rPr>
      <w:kern w:val="2"/>
      <w:sz w:val="18"/>
      <w:szCs w:val="18"/>
    </w:rPr>
  </w:style>
  <w:style w:type="paragraph" w:styleId="a8">
    <w:name w:val="footer"/>
    <w:basedOn w:val="a"/>
    <w:link w:val="a9"/>
    <w:rsid w:val="00C821AC"/>
    <w:pPr>
      <w:tabs>
        <w:tab w:val="center" w:pos="4153"/>
        <w:tab w:val="right" w:pos="8306"/>
      </w:tabs>
      <w:snapToGrid w:val="0"/>
      <w:jc w:val="left"/>
    </w:pPr>
    <w:rPr>
      <w:sz w:val="18"/>
      <w:szCs w:val="18"/>
    </w:rPr>
  </w:style>
  <w:style w:type="character" w:customStyle="1" w:styleId="a9">
    <w:name w:val="页脚 字符"/>
    <w:basedOn w:val="a0"/>
    <w:link w:val="a8"/>
    <w:rsid w:val="00C821AC"/>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24</Pages>
  <Words>12039</Words>
  <Characters>13244</Characters>
  <Application>Microsoft Office Word</Application>
  <DocSecurity>0</DocSecurity>
  <Lines>602</Lines>
  <Paragraphs>312</Paragraphs>
  <ScaleCrop>false</ScaleCrop>
  <Company/>
  <LinksUpToDate>false</LinksUpToDate>
  <CharactersWithSpaces>24971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wsl</dc:creator>
  <cp:lastModifiedBy>wsl</cp:lastModifiedBy>
  <cp:revision>5</cp:revision>
  <dcterms:created xsi:type="dcterms:W3CDTF">2025-06-06T08:01:00Z</dcterms:created>
  <dcterms:modified xsi:type="dcterms:W3CDTF">2025-06-06T09:52:00Z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ED89287DDCB7457E9FEDB5B7067FA9A6_13</vt:lpwstr>
  </property>
  <property fmtid="{D5CDD505-2E9C-101B-9397-08002B2CF9AE}" pid="4" name="KSOTemplateDocerSaveRecord">
    <vt:lpwstr>eyJoZGlkIjoiYjRmOTM2MTdkYjQ0MjBhMDY3NzdlZjIxNmNjYmI0YWQiLCJ1c2VySWQiOiI2NjEwODY5MjMifQ==</vt:lpwstr>
  </property>
</Properties>
</file>