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5168" w:type="dxa"/>
        <w:tblInd w:w="-714" w:type="dxa"/>
        <w:tblLayout w:type="fixed"/>
        <w:tblCellMar>
          <w:top w:w="0" w:type="dxa"/>
          <w:left w:w="108" w:type="dxa"/>
          <w:bottom w:w="0" w:type="dxa"/>
          <w:right w:w="108" w:type="dxa"/>
        </w:tblCellMar>
      </w:tblPr>
      <w:tblGrid>
        <w:gridCol w:w="469"/>
        <w:gridCol w:w="862"/>
        <w:gridCol w:w="1730"/>
        <w:gridCol w:w="1293"/>
        <w:gridCol w:w="655"/>
        <w:gridCol w:w="567"/>
        <w:gridCol w:w="9592"/>
      </w:tblGrid>
      <w:tr>
        <w:tblPrEx>
          <w:tblCellMar>
            <w:top w:w="0" w:type="dxa"/>
            <w:left w:w="108" w:type="dxa"/>
            <w:bottom w:w="0" w:type="dxa"/>
            <w:right w:w="108" w:type="dxa"/>
          </w:tblCellMar>
        </w:tblPrEx>
        <w:trPr>
          <w:trHeight w:val="560" w:hRule="atLeast"/>
        </w:trPr>
        <w:tc>
          <w:tcPr>
            <w:tcW w:w="151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西华大学2024年研究生</w:t>
            </w:r>
            <w:r>
              <w:rPr>
                <w:rFonts w:hint="eastAsia" w:ascii="宋体" w:hAnsi="宋体" w:eastAsia="宋体" w:cs="宋体"/>
                <w:b/>
                <w:bCs/>
                <w:color w:val="000000"/>
                <w:kern w:val="0"/>
                <w:sz w:val="20"/>
                <w:szCs w:val="20"/>
                <w:lang w:val="en-US" w:eastAsia="zh-CN" w:bidi="ar"/>
              </w:rPr>
              <w:t>工作室</w:t>
            </w:r>
            <w:r>
              <w:rPr>
                <w:rFonts w:hint="eastAsia" w:ascii="宋体" w:hAnsi="宋体" w:eastAsia="宋体" w:cs="宋体"/>
                <w:b/>
                <w:bCs/>
                <w:color w:val="000000"/>
                <w:kern w:val="0"/>
                <w:sz w:val="20"/>
                <w:szCs w:val="20"/>
                <w:lang w:bidi="ar"/>
              </w:rPr>
              <w:t>定制桌家具分品目汇总清单</w:t>
            </w:r>
          </w:p>
        </w:tc>
      </w:tr>
      <w:tr>
        <w:tblPrEx>
          <w:tblCellMar>
            <w:top w:w="0" w:type="dxa"/>
            <w:left w:w="108" w:type="dxa"/>
            <w:bottom w:w="0" w:type="dxa"/>
            <w:right w:w="108" w:type="dxa"/>
          </w:tblCellMar>
        </w:tblPrEx>
        <w:trPr>
          <w:trHeight w:val="735"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采购品目</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产品图片</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规格尺寸（mm)</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9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技术参数</w:t>
            </w:r>
          </w:p>
        </w:tc>
      </w:tr>
      <w:tr>
        <w:tblPrEx>
          <w:tblCellMar>
            <w:top w:w="0" w:type="dxa"/>
            <w:left w:w="108" w:type="dxa"/>
            <w:bottom w:w="0" w:type="dxa"/>
            <w:right w:w="108" w:type="dxa"/>
          </w:tblCellMar>
        </w:tblPrEx>
        <w:trPr>
          <w:trHeight w:val="297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A05010203-定制钢木桌</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bidi="ar"/>
              </w:rPr>
              <w:drawing>
                <wp:anchor distT="0" distB="0" distL="114300" distR="114300" simplePos="0" relativeHeight="251659264" behindDoc="0" locked="0" layoutInCell="1" allowOverlap="1">
                  <wp:simplePos x="0" y="0"/>
                  <wp:positionH relativeFrom="column">
                    <wp:posOffset>-46990</wp:posOffset>
                  </wp:positionH>
                  <wp:positionV relativeFrom="paragraph">
                    <wp:posOffset>123825</wp:posOffset>
                  </wp:positionV>
                  <wp:extent cx="1052830" cy="544830"/>
                  <wp:effectExtent l="0" t="0" r="13970" b="7620"/>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4"/>
                          <a:stretch>
                            <a:fillRect/>
                          </a:stretch>
                        </pic:blipFill>
                        <pic:spPr>
                          <a:xfrm>
                            <a:off x="0" y="0"/>
                            <a:ext cx="1052830" cy="544830"/>
                          </a:xfrm>
                          <a:prstGeom prst="rect">
                            <a:avLst/>
                          </a:prstGeom>
                          <a:noFill/>
                          <a:ln>
                            <a:noFill/>
                          </a:ln>
                        </pic:spPr>
                      </pic:pic>
                    </a:graphicData>
                  </a:graphic>
                </wp:anchor>
              </w:drawing>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1600*700*800（±5mm）</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9592" w:type="dxa"/>
            <w:vMerge w:val="restart"/>
            <w:tcBorders>
              <w:top w:val="single" w:color="000000" w:sz="4" w:space="0"/>
              <w:left w:val="single" w:color="000000" w:sz="4" w:space="0"/>
              <w:right w:val="single" w:color="000000" w:sz="4" w:space="0"/>
            </w:tcBorders>
            <w:shd w:val="clear" w:color="auto" w:fill="auto"/>
            <w:vAlign w:val="center"/>
          </w:tcPr>
          <w:p>
            <w:pPr>
              <w:snapToGrid w:val="0"/>
              <w:spacing w:line="240" w:lineRule="atLeast"/>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1、</w:t>
            </w:r>
            <w:r>
              <w:rPr>
                <w:rFonts w:hint="eastAsia" w:ascii="宋体" w:hAnsi="宋体" w:eastAsia="宋体"/>
                <w:sz w:val="20"/>
                <w:szCs w:val="20"/>
              </w:rPr>
              <w:t>基材：实木颗粒板，含水率检测合格；吸水厚度膨胀率：</w:t>
            </w:r>
            <w:r>
              <w:rPr>
                <w:rFonts w:ascii="宋体" w:hAnsi="宋体" w:eastAsia="宋体"/>
                <w:sz w:val="20"/>
                <w:szCs w:val="20"/>
              </w:rPr>
              <w:t>24hμ</w:t>
            </w:r>
            <w:r>
              <w:rPr>
                <w:rFonts w:ascii="Times New Roman" w:hAnsi="Times New Roman" w:eastAsia="宋体" w:cs="Times New Roman"/>
                <w:sz w:val="20"/>
                <w:szCs w:val="20"/>
              </w:rPr>
              <w:t>ᵤ</w:t>
            </w:r>
            <w:r>
              <w:rPr>
                <w:rFonts w:ascii="宋体" w:hAnsi="宋体" w:eastAsia="宋体"/>
                <w:sz w:val="20"/>
                <w:szCs w:val="20"/>
              </w:rPr>
              <w:t>≤8％、2hμ</w:t>
            </w:r>
            <w:r>
              <w:rPr>
                <w:rFonts w:ascii="Times New Roman" w:hAnsi="Times New Roman" w:eastAsia="宋体" w:cs="Times New Roman"/>
                <w:sz w:val="20"/>
                <w:szCs w:val="20"/>
              </w:rPr>
              <w:t>ᵤ</w:t>
            </w:r>
            <w:r>
              <w:rPr>
                <w:rFonts w:ascii="宋体" w:hAnsi="宋体" w:eastAsia="宋体"/>
                <w:sz w:val="20"/>
                <w:szCs w:val="20"/>
              </w:rPr>
              <w:t>≤3.0％。表面胶合强度检测合格；板面握螺钉力≥1300N，板边握螺钉力≥930N；静曲强度≥25MPa；弹性模量≥4800MPa。内胶合强度≥0.50 MPa；防潮性能循环试验后内胶合强度μ</w:t>
            </w:r>
            <w:r>
              <w:rPr>
                <w:rFonts w:hint="eastAsia" w:ascii="MS Gothic" w:hAnsi="MS Gothic" w:eastAsia="MS Gothic" w:cs="MS Gothic"/>
                <w:sz w:val="20"/>
                <w:szCs w:val="20"/>
              </w:rPr>
              <w:t>ʟ</w:t>
            </w:r>
            <w:r>
              <w:rPr>
                <w:rFonts w:ascii="宋体" w:hAnsi="宋体" w:eastAsia="宋体"/>
                <w:sz w:val="20"/>
                <w:szCs w:val="20"/>
              </w:rPr>
              <w:t>≥0.30MPa；甲醛释放限量≤0.020mg/m³；挥发性有机化合物（72h）苯、甲苯、二甲苯均≤2μg/m³、总挥发性有机化合物（TVOC）≤50μg/m³。</w:t>
            </w:r>
            <w:r>
              <w:rPr>
                <w:rFonts w:hint="eastAsia" w:ascii="宋体" w:hAnsi="宋体" w:eastAsia="宋体"/>
                <w:sz w:val="20"/>
                <w:szCs w:val="20"/>
              </w:rPr>
              <w:t>（投标时提供由第三方检测机构出具的“实木颗粒板”检验检测报告复印件及检验检测报告编号在全国认证认可信息公共服务平台</w:t>
            </w:r>
            <w:r>
              <w:rPr>
                <w:rFonts w:ascii="宋体" w:hAnsi="宋体" w:eastAsia="宋体"/>
                <w:sz w:val="20"/>
                <w:szCs w:val="20"/>
              </w:rPr>
              <w:t>(认监委官网http://cx.cnca.cn)上的查询截图进行佐证）</w:t>
            </w:r>
          </w:p>
          <w:p>
            <w:pPr>
              <w:snapToGrid w:val="0"/>
              <w:spacing w:line="240" w:lineRule="atLeast"/>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2、</w:t>
            </w:r>
            <w:r>
              <w:rPr>
                <w:rFonts w:hint="eastAsia" w:ascii="宋体" w:hAnsi="宋体" w:eastAsia="宋体"/>
                <w:sz w:val="20"/>
                <w:szCs w:val="20"/>
              </w:rPr>
              <w:t>面材：三聚氰胺板饰面纸，挥发物含量</w:t>
            </w:r>
            <w:r>
              <w:rPr>
                <w:rFonts w:ascii="宋体" w:hAnsi="宋体" w:eastAsia="宋体"/>
                <w:sz w:val="20"/>
                <w:szCs w:val="20"/>
              </w:rPr>
              <w:t>6%~9%；预固化度50%~70%；甲醛释放量A级≤0.2mg/L；挥发性有机化合物（72h）苯、甲苯、二甲苯均≤2μg/m³、总挥发性有机化合物（TVOC）≤10μg/m³。</w:t>
            </w:r>
            <w:r>
              <w:rPr>
                <w:rFonts w:hint="eastAsia" w:ascii="宋体" w:hAnsi="宋体" w:eastAsia="宋体"/>
                <w:sz w:val="20"/>
                <w:szCs w:val="20"/>
              </w:rPr>
              <w:t>（投标时提供由第三方检测机构出具的“三聚氰胺饰面纸”检验检测报告复印件及检验检测报告编号在全国认证认可信息公共服务平台(认监委官网http://cx.cnca.cn)上的查询截图进行佐证）</w:t>
            </w:r>
          </w:p>
          <w:p>
            <w:pPr>
              <w:snapToGrid w:val="0"/>
              <w:spacing w:line="240" w:lineRule="atLeast"/>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3、</w:t>
            </w:r>
            <w:r>
              <w:rPr>
                <w:rFonts w:hint="eastAsia" w:ascii="宋体" w:hAnsi="宋体" w:eastAsia="宋体"/>
                <w:sz w:val="20"/>
                <w:szCs w:val="20"/>
              </w:rPr>
              <w:t>封边热熔胶：苯、甲苯、二甲苯均≤</w:t>
            </w:r>
            <w:r>
              <w:rPr>
                <w:rFonts w:ascii="宋体" w:hAnsi="宋体" w:eastAsia="宋体"/>
                <w:sz w:val="20"/>
                <w:szCs w:val="20"/>
              </w:rPr>
              <w:t>0.04g/kg；总挥发性有机物≤10g/L；二氯甲烷、1,2-二氯乙烷、1,1,2-三氯乙烷、三氯乙烯均≤0.1g/kg。</w:t>
            </w:r>
            <w:r>
              <w:rPr>
                <w:rFonts w:hint="eastAsia" w:ascii="宋体" w:hAnsi="宋体" w:eastAsia="宋体"/>
                <w:sz w:val="20"/>
                <w:szCs w:val="20"/>
              </w:rPr>
              <w:t>（投标时提供由第三方检测机构出具的“封边热熔胶”检验检测报告复印件及检验检测报告编号在全国认证认可信息公共服务平台(认监委官网http://cx.cnca.cn)上的查询截图进行佐证）</w:t>
            </w:r>
          </w:p>
          <w:p>
            <w:pPr>
              <w:snapToGrid w:val="0"/>
              <w:spacing w:line="240" w:lineRule="atLeast"/>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4、</w:t>
            </w:r>
            <w:r>
              <w:rPr>
                <w:rFonts w:hint="eastAsia" w:ascii="宋体" w:hAnsi="宋体" w:eastAsia="宋体"/>
                <w:sz w:val="20"/>
                <w:szCs w:val="20"/>
              </w:rPr>
              <w:t>封边条：耐磨性、耐冷热循环性、耐老化性、耐干热性、耐开裂性、耐光色牢度均检测合格；边缘直线度检测合格；封边条外观检测合格；可迁移元素（可溶性重金属）检测合格；塑料多环芳烃（</w:t>
            </w:r>
            <w:r>
              <w:rPr>
                <w:rFonts w:ascii="宋体" w:hAnsi="宋体" w:eastAsia="宋体"/>
                <w:sz w:val="20"/>
                <w:szCs w:val="20"/>
              </w:rPr>
              <w:t>16种多环芳烃(PAH)总量、苯并[a]芘）检测合格；邻苯二甲酸酯、多溴联苯、多溴联苯醚均检测合格。</w:t>
            </w:r>
            <w:r>
              <w:rPr>
                <w:rFonts w:hint="eastAsia" w:ascii="宋体" w:hAnsi="宋体" w:eastAsia="宋体"/>
                <w:sz w:val="20"/>
                <w:szCs w:val="20"/>
              </w:rPr>
              <w:t>（投标时提供由第三方检测机构出具的“封边条”检验检测报告复印件及检验检测报告编号在全国认证认可信息公共服务平台(认监委官网http://cx.cnca.cn)上的查询截图进行佐证）</w:t>
            </w:r>
          </w:p>
          <w:p>
            <w:pPr>
              <w:snapToGrid w:val="0"/>
              <w:spacing w:line="240" w:lineRule="atLeast"/>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5、</w:t>
            </w:r>
            <w:r>
              <w:rPr>
                <w:rFonts w:hint="eastAsia" w:ascii="宋体" w:hAnsi="宋体" w:eastAsia="宋体"/>
                <w:sz w:val="20"/>
                <w:szCs w:val="20"/>
              </w:rPr>
              <w:t>五金件：螺丝，表面涂层可迁移元素锑、砷、钡、镉、铬、铅、汞、硒均≤</w:t>
            </w:r>
            <w:r>
              <w:rPr>
                <w:rFonts w:ascii="宋体" w:hAnsi="宋体" w:eastAsia="宋体"/>
                <w:sz w:val="20"/>
                <w:szCs w:val="20"/>
              </w:rPr>
              <w:t>2mg/kg；经中性盐雾试验、乙酸盐雾试验均通过≥100h试验，达到10级耐腐蚀等级的检测标准；金属件外观性能未见缺陷。</w:t>
            </w:r>
            <w:r>
              <w:rPr>
                <w:rFonts w:hint="eastAsia" w:ascii="宋体" w:hAnsi="宋体" w:eastAsia="宋体"/>
                <w:sz w:val="20"/>
                <w:szCs w:val="20"/>
              </w:rPr>
              <w:t>（投标时提供由第三方检测机构出具的“螺丝”检验检测报告复印件及检验检测报告编号在全国认证认可信息公共服务平台(认监委官网http://cx.cnca.cn)上的查询截图进行佐证）</w:t>
            </w:r>
          </w:p>
          <w:p>
            <w:pPr>
              <w:snapToGrid w:val="0"/>
              <w:spacing w:line="240" w:lineRule="atLeast"/>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6、</w:t>
            </w:r>
            <w:r>
              <w:rPr>
                <w:rFonts w:hint="eastAsia" w:ascii="宋体" w:hAnsi="宋体" w:eastAsia="宋体"/>
                <w:sz w:val="20"/>
                <w:szCs w:val="20"/>
              </w:rPr>
              <w:t>五金件：三合一连接件，中性盐雾、乙酸盐雾试验各≥</w:t>
            </w:r>
            <w:r>
              <w:rPr>
                <w:rFonts w:ascii="宋体" w:hAnsi="宋体" w:eastAsia="宋体"/>
                <w:sz w:val="20"/>
                <w:szCs w:val="20"/>
              </w:rPr>
              <w:t>18h后耐腐蚀等级达到10级；电镀层外观性能检测合格；力学性能（三合一偏心连接件偏心体抗压强度、预埋螺母抗拉强度）检测合格；力学性能（三合一偏心连接件中连接螺杆螺纹与预埋螺母的抗拉强度）检测合格。</w:t>
            </w:r>
            <w:r>
              <w:rPr>
                <w:rFonts w:hint="eastAsia" w:ascii="宋体" w:hAnsi="宋体" w:eastAsia="宋体"/>
                <w:sz w:val="20"/>
                <w:szCs w:val="20"/>
              </w:rPr>
              <w:t>（投标时提供由第三方检测机构出具的“三合一连接件”检验检测报告复印件及检验检测报告编号在全国认证认可信息公共服务平台(认监委官网http://cx.cnca.cn)上的查询截图进行佐证）</w:t>
            </w:r>
          </w:p>
          <w:p>
            <w:pPr>
              <w:snapToGrid w:val="0"/>
              <w:spacing w:line="240" w:lineRule="atLeast"/>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7、</w:t>
            </w:r>
            <w:r>
              <w:rPr>
                <w:rFonts w:hint="eastAsia" w:ascii="宋体" w:hAnsi="宋体" w:eastAsia="宋体"/>
                <w:sz w:val="20"/>
                <w:szCs w:val="20"/>
              </w:rPr>
              <w:t>五金件：抽屉轨道，金属件（冲压件、喷涂层）检测合格；过载（水平侧向静载荷、猛关或猛开、垂直向下静载荷）检测合格；操作力、耐久性、拉出安全性均检测合格；中性盐雾、乙酸盐雾试验各≥</w:t>
            </w:r>
            <w:r>
              <w:rPr>
                <w:rFonts w:ascii="宋体" w:hAnsi="宋体" w:eastAsia="宋体"/>
                <w:sz w:val="20"/>
                <w:szCs w:val="20"/>
              </w:rPr>
              <w:t>18h后耐腐蚀等级达到10级；抗菌性能（抑菌率）检测合格；耐霉菌性（耐霉菌性等级）检测合格。</w:t>
            </w:r>
            <w:r>
              <w:rPr>
                <w:rFonts w:hint="eastAsia" w:ascii="宋体" w:hAnsi="宋体" w:eastAsia="宋体"/>
                <w:sz w:val="20"/>
                <w:szCs w:val="20"/>
              </w:rPr>
              <w:t>（投标时提供由第三方检测机构出具的抽屉轨道检验检测报告复印件及检验检测报告编号在全国认证认可信息公共服务平台(认监委官网http://cx.cnca.cn)上的查询截图进行佐证）</w:t>
            </w:r>
          </w:p>
          <w:p>
            <w:pPr>
              <w:snapToGrid w:val="0"/>
              <w:spacing w:line="240" w:lineRule="atLeast"/>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8、五金件：铝合金拉手，金属件外观（电镀层）：表面无剥落、返锈、毛刺、无烧焦、起泡、针孔、裂纹、花斑(不包括镀彩锌)和划痕。抗盐雾≥24h，1.5mm以下锈点不超过20点/ dm2,其中直径1.0mm以上锈点不超过5点/dm2。</w:t>
            </w:r>
            <w:r>
              <w:rPr>
                <w:rFonts w:hint="eastAsia" w:ascii="宋体" w:hAnsi="宋体" w:eastAsia="宋体"/>
                <w:sz w:val="20"/>
                <w:szCs w:val="20"/>
              </w:rPr>
              <w:t>（投标时提供由第三方检测机构出具的“铝合金拉手”检验检测报告复印件及检验检测报告编号在全国认证认可信息公共服务平台(认监委官网http://cx.cnca.cn)上的查询截图进行佐证）</w:t>
            </w:r>
          </w:p>
          <w:p>
            <w:pPr>
              <w:snapToGrid w:val="0"/>
              <w:spacing w:line="240" w:lineRule="atLeast"/>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9、</w:t>
            </w:r>
            <w:r>
              <w:rPr>
                <w:rFonts w:hint="eastAsia" w:ascii="宋体" w:hAnsi="宋体" w:eastAsia="宋体"/>
                <w:sz w:val="20"/>
                <w:szCs w:val="20"/>
              </w:rPr>
              <w:t>桌脚立柱：壁厚≥</w:t>
            </w:r>
            <w:r>
              <w:rPr>
                <w:rFonts w:ascii="宋体" w:hAnsi="宋体" w:eastAsia="宋体"/>
                <w:sz w:val="20"/>
                <w:szCs w:val="20"/>
              </w:rPr>
              <w:t>1.2mm；金属喷漆（塑）涂层硬度≥6H；金属件外观性能检测合格；涂层中可溶性重金属铅、镉、铬、汞均≤2mg/kg；化学成分C、Si、Mn、P、S检测合格；金属喷漆（塑）涂层冲击强度检测合格；漆膜划圈试验不低于2级；抗拉强度Rm≥360MPa；断后伸长率A80mm≥55%；弯曲试验检测合格；经过人造气氛腐蚀试验（中性盐雾NSS）, 试验周期≥120h。起泡等级达到0级。生锈等级达到Ri0级。开裂等级达到0级。剥落等级达到0级。划线周边的剥离及腐蚀：腐蚀等级达到1级，剥离等级达到1级。</w:t>
            </w:r>
            <w:r>
              <w:rPr>
                <w:rFonts w:hint="eastAsia" w:ascii="宋体" w:hAnsi="宋体" w:eastAsia="宋体"/>
                <w:sz w:val="20"/>
                <w:szCs w:val="20"/>
              </w:rPr>
              <w:t>（投标时提供由第三方检测机构出具的“立柱”检验检测报告复印件及检验检测报告编号在全国认证认可信息公共服务平台(认监委官网http://cx.cnca.cn)上的查询截图进行佐证）</w:t>
            </w:r>
          </w:p>
          <w:p>
            <w:pPr>
              <w:snapToGrid w:val="0"/>
              <w:spacing w:line="240" w:lineRule="atLeast"/>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10、桌下横梁采用</w:t>
            </w:r>
            <w:r>
              <w:rPr>
                <w:rFonts w:hint="eastAsia" w:ascii="宋体" w:hAnsi="宋体" w:eastAsia="宋体"/>
                <w:sz w:val="20"/>
                <w:szCs w:val="20"/>
              </w:rPr>
              <w:t>方形管：壁厚≥</w:t>
            </w:r>
            <w:r>
              <w:rPr>
                <w:rFonts w:ascii="宋体" w:hAnsi="宋体" w:eastAsia="宋体"/>
                <w:sz w:val="20"/>
                <w:szCs w:val="20"/>
              </w:rPr>
              <w:t>1.2mm；金属件外观性能要求（喷涂层）检测合格；涂层中可溶性重金属铅、镉、铬、汞均≤2mg/kg；化学成分C、Si、Mn、P、S检测合格；下屈服强度、抗拉强度、断后伸长率、弯曲试验均检测合格；经过人造气氛腐蚀试验（中性盐雾NSS）,试验周期≥120h。起泡等级达到0级。生锈等级达到Ri0级。开裂等级达到0级。剥落等级达到0级。划线周边的剥离及腐蚀：腐蚀等级达到1级，剥离等级达到1级。</w:t>
            </w:r>
            <w:r>
              <w:rPr>
                <w:rFonts w:hint="eastAsia" w:ascii="宋体" w:hAnsi="宋体" w:eastAsia="宋体"/>
                <w:sz w:val="20"/>
                <w:szCs w:val="20"/>
              </w:rPr>
              <w:t>（投标时提供由第三方检测机构出具的“方形管”检验检测报告复印件及检验检测报告编号在全国认证认可信息公共服务平台(认监委官网http://cx.cnca.cn)上的查询截图进行佐证）</w:t>
            </w:r>
          </w:p>
          <w:p>
            <w:pPr>
              <w:snapToGrid w:val="0"/>
              <w:spacing w:line="240" w:lineRule="atLeast"/>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11、</w:t>
            </w:r>
            <w:r>
              <w:rPr>
                <w:rFonts w:hint="eastAsia" w:ascii="宋体" w:hAnsi="宋体" w:eastAsia="宋体"/>
                <w:sz w:val="20"/>
                <w:szCs w:val="20"/>
              </w:rPr>
              <w:t>抽屉连接钢管：厚度≥</w:t>
            </w:r>
            <w:r>
              <w:rPr>
                <w:rFonts w:ascii="宋体" w:hAnsi="宋体" w:eastAsia="宋体"/>
                <w:sz w:val="20"/>
                <w:szCs w:val="20"/>
              </w:rPr>
              <w:t>1.</w:t>
            </w:r>
            <w:r>
              <w:rPr>
                <w:rFonts w:hint="eastAsia" w:ascii="宋体" w:hAnsi="宋体" w:eastAsia="宋体"/>
                <w:sz w:val="20"/>
                <w:szCs w:val="20"/>
              </w:rPr>
              <w:t>2</w:t>
            </w:r>
            <w:r>
              <w:rPr>
                <w:rFonts w:ascii="宋体" w:hAnsi="宋体" w:eastAsia="宋体"/>
                <w:sz w:val="20"/>
                <w:szCs w:val="20"/>
              </w:rPr>
              <w:t>mm，金属喷漆（塑）涂层硬度≥6H；金属件外观性能检测合格；涂层中可溶性重金属铅、镉、铬、汞均≤2mg/kg；化学成分C、Si、Mn、P、S检测合格；下屈服强度≥270MPa；抗拉强度≥380MPa；断后伸长率≥20%；弯曲试验检测合格；经过人造气氛腐蚀试验（中性盐雾NSS）,试验周期≥120h。起泡等级达到0级。生锈等级达到Ri0级。开裂等级达到0级。剥落等级达到0级。划线周边的剥离及腐蚀：腐蚀等级达到1级，剥离等级达到1级。</w:t>
            </w:r>
            <w:r>
              <w:rPr>
                <w:rFonts w:hint="eastAsia" w:ascii="宋体" w:hAnsi="宋体" w:eastAsia="宋体"/>
                <w:sz w:val="20"/>
                <w:szCs w:val="20"/>
              </w:rPr>
              <w:t>（投标时提供由第三方检测机构出具的“连接钢管”检验检测报告复印件及检验检测报告编号在全国认证认可信息公共服务平台(认监委官网http://cx.cnca.cn)上的查询截图进行佐证）</w:t>
            </w:r>
          </w:p>
          <w:p>
            <w:pPr>
              <w:snapToGrid w:val="0"/>
              <w:spacing w:line="240" w:lineRule="atLeast"/>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12、塑粉：色泽均匀，无异物，呈松散粉末状，筛余物(125 μm)全部通过;硬度(擦伤)≥6H；附着力≤1级；耐冲击性 ≥50cm；符合弯曲试验；耐酸性试验后无异常；多溴联苯(PBBs)≤0.5mg/kg。</w:t>
            </w:r>
            <w:r>
              <w:rPr>
                <w:rFonts w:hint="eastAsia" w:ascii="宋体" w:hAnsi="宋体" w:eastAsia="宋体"/>
                <w:sz w:val="20"/>
                <w:szCs w:val="20"/>
              </w:rPr>
              <w:t>（投标时提供由第三方检测机构出具的“塑粉”检验检测报告复印件及检验检测报告编号在全国认证认可信息公共服务平台(认监委官网http://cx.cnca.cn)上的查询截图进行佐证）</w:t>
            </w:r>
          </w:p>
          <w:p>
            <w:pPr>
              <w:snapToGrid w:val="0"/>
              <w:spacing w:line="240" w:lineRule="atLeast"/>
              <w:rPr>
                <w:rFonts w:ascii="宋体" w:hAnsi="宋体" w:eastAsia="宋体"/>
                <w:color w:val="FF0000"/>
                <w:sz w:val="20"/>
                <w:szCs w:val="20"/>
              </w:rPr>
            </w:pPr>
            <w:r>
              <w:rPr>
                <w:rFonts w:ascii="宋体" w:hAnsi="宋体" w:eastAsia="宋体"/>
                <w:sz w:val="20"/>
                <w:szCs w:val="20"/>
              </w:rPr>
              <w:t>13、桌脚配置ABS塑料套脚；台面厚度≥25mm，其它板材厚度≥16mm。</w:t>
            </w:r>
            <w:r>
              <w:rPr>
                <w:rFonts w:hint="eastAsia" w:ascii="宋体" w:hAnsi="宋体" w:eastAsia="宋体"/>
                <w:sz w:val="20"/>
                <w:szCs w:val="20"/>
              </w:rPr>
              <w:t>桌脚立柱规格≥40*40*1.2mm；</w:t>
            </w:r>
            <w:r>
              <w:rPr>
                <w:rFonts w:ascii="宋体" w:hAnsi="宋体" w:eastAsia="宋体"/>
                <w:sz w:val="20"/>
                <w:szCs w:val="20"/>
              </w:rPr>
              <w:t>桌下横梁</w:t>
            </w:r>
            <w:r>
              <w:rPr>
                <w:rFonts w:hint="eastAsia" w:ascii="宋体" w:hAnsi="宋体" w:eastAsia="宋体"/>
                <w:sz w:val="20"/>
                <w:szCs w:val="20"/>
              </w:rPr>
              <w:t>≥20*40*1.2mm；抽屉连接钢管≥20*20*1.2mm。</w:t>
            </w:r>
          </w:p>
          <w:p>
            <w:pPr>
              <w:snapToGrid w:val="0"/>
              <w:spacing w:line="240" w:lineRule="atLeast"/>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14、ABS塑料部件：特定元素的迁移铬、砷、硒、镉、锑、钡、汞、铅≤2mg/kg。</w:t>
            </w:r>
            <w:r>
              <w:rPr>
                <w:rFonts w:hint="eastAsia" w:ascii="宋体" w:hAnsi="宋体" w:eastAsia="宋体"/>
                <w:sz w:val="20"/>
                <w:szCs w:val="20"/>
              </w:rPr>
              <w:t>（投标时提供由第三方检测机构出具的“ABS塑料部件”检验检测报告复印件及检验检测报告编号在全国认证认可信息公共服务平台(认监委官网http://cx.cnca.cn)上的查询截图进行佐证）</w:t>
            </w:r>
          </w:p>
          <w:p>
            <w:pPr>
              <w:snapToGrid w:val="0"/>
              <w:spacing w:line="240" w:lineRule="atLeast"/>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15、阅览桌成品质量要求：甲醛释放限量</w:t>
            </w:r>
            <w:r>
              <w:rPr>
                <w:rFonts w:hint="eastAsia" w:ascii="宋体" w:hAnsi="宋体" w:eastAsia="宋体"/>
                <w:sz w:val="20"/>
                <w:szCs w:val="20"/>
              </w:rPr>
              <w:t>检测合格</w:t>
            </w:r>
            <w:r>
              <w:rPr>
                <w:rFonts w:ascii="宋体" w:hAnsi="宋体" w:eastAsia="宋体"/>
                <w:sz w:val="20"/>
                <w:szCs w:val="20"/>
              </w:rPr>
              <w:t>，含水率检测合格；木制件外观性能要求，封边处理无缺陷，表面装饰层无缺陷；</w:t>
            </w:r>
            <w:r>
              <w:rPr>
                <w:rFonts w:hint="eastAsia" w:ascii="宋体" w:hAnsi="宋体" w:eastAsia="宋体"/>
                <w:sz w:val="20"/>
                <w:szCs w:val="20"/>
              </w:rPr>
              <w:t>金属外观喷涂层检测合格。</w:t>
            </w:r>
            <w:r>
              <w:rPr>
                <w:rFonts w:ascii="宋体" w:hAnsi="宋体" w:eastAsia="宋体"/>
                <w:sz w:val="20"/>
                <w:szCs w:val="20"/>
              </w:rPr>
              <w:t>符合GB/T3325-2017标准。</w:t>
            </w:r>
            <w:r>
              <w:rPr>
                <w:rFonts w:hint="eastAsia" w:ascii="宋体" w:hAnsi="宋体" w:eastAsia="宋体"/>
                <w:sz w:val="20"/>
                <w:szCs w:val="20"/>
              </w:rPr>
              <w:t>（投标时提供由第三方检测机构出具的“阅览桌”检验检测报告复印件及检验检测报告编号在全国认证认可信息公共服务平台(认监委官网http://cx.cnca.cn)上的查询截图进行佐证）</w:t>
            </w:r>
          </w:p>
          <w:p>
            <w:pPr>
              <w:snapToGrid w:val="0"/>
              <w:spacing w:line="240" w:lineRule="atLeast"/>
              <w:rPr>
                <w:rFonts w:ascii="宋体" w:hAnsi="宋体" w:eastAsia="宋体"/>
                <w:sz w:val="20"/>
                <w:szCs w:val="20"/>
              </w:rPr>
            </w:pPr>
            <w:r>
              <w:rPr>
                <w:rFonts w:hint="eastAsia" w:ascii="宋体" w:hAnsi="宋体" w:eastAsia="宋体"/>
                <w:sz w:val="20"/>
                <w:szCs w:val="20"/>
              </w:rPr>
              <w:t>16</w:t>
            </w:r>
            <w:r>
              <w:rPr>
                <w:rFonts w:ascii="宋体" w:hAnsi="宋体" w:eastAsia="宋体"/>
                <w:sz w:val="20"/>
                <w:szCs w:val="20"/>
              </w:rPr>
              <w:t>、</w:t>
            </w:r>
            <w:r>
              <w:rPr>
                <w:rFonts w:hint="eastAsia" w:ascii="宋体" w:hAnsi="宋体" w:eastAsia="宋体"/>
                <w:sz w:val="20"/>
                <w:szCs w:val="20"/>
              </w:rPr>
              <w:t>生产前根据结构性木制品的稳固及美观结合现场实际使用需求进行深化设计。</w:t>
            </w:r>
          </w:p>
        </w:tc>
      </w:tr>
      <w:tr>
        <w:tblPrEx>
          <w:tblCellMar>
            <w:top w:w="0" w:type="dxa"/>
            <w:left w:w="108" w:type="dxa"/>
            <w:bottom w:w="0" w:type="dxa"/>
            <w:right w:w="108" w:type="dxa"/>
          </w:tblCellMar>
        </w:tblPrEx>
        <w:trPr>
          <w:trHeight w:val="3555"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A05010203-定制钢木桌</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bidi="ar"/>
              </w:rPr>
              <w:drawing>
                <wp:anchor distT="0" distB="0" distL="114300" distR="114300" simplePos="0" relativeHeight="251661312" behindDoc="0" locked="0" layoutInCell="1" allowOverlap="1">
                  <wp:simplePos x="0" y="0"/>
                  <wp:positionH relativeFrom="column">
                    <wp:posOffset>106680</wp:posOffset>
                  </wp:positionH>
                  <wp:positionV relativeFrom="paragraph">
                    <wp:posOffset>122555</wp:posOffset>
                  </wp:positionV>
                  <wp:extent cx="735330" cy="756920"/>
                  <wp:effectExtent l="0" t="0" r="7620" b="5080"/>
                  <wp:wrapNone/>
                  <wp:docPr id="5" name="图片_5"/>
                  <wp:cNvGraphicFramePr/>
                  <a:graphic xmlns:a="http://schemas.openxmlformats.org/drawingml/2006/main">
                    <a:graphicData uri="http://schemas.openxmlformats.org/drawingml/2006/picture">
                      <pic:pic xmlns:pic="http://schemas.openxmlformats.org/drawingml/2006/picture">
                        <pic:nvPicPr>
                          <pic:cNvPr id="5" name="图片_5"/>
                          <pic:cNvPicPr/>
                        </pic:nvPicPr>
                        <pic:blipFill>
                          <a:blip r:embed="rId5"/>
                          <a:stretch>
                            <a:fillRect/>
                          </a:stretch>
                        </pic:blipFill>
                        <pic:spPr>
                          <a:xfrm>
                            <a:off x="0" y="0"/>
                            <a:ext cx="735330" cy="756920"/>
                          </a:xfrm>
                          <a:prstGeom prst="rect">
                            <a:avLst/>
                          </a:prstGeom>
                          <a:noFill/>
                          <a:ln>
                            <a:noFill/>
                          </a:ln>
                        </pic:spPr>
                      </pic:pic>
                    </a:graphicData>
                  </a:graphic>
                </wp:anchor>
              </w:drawing>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800*700*800（±5mm）</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9592" w:type="dxa"/>
            <w:vMerge w:val="continue"/>
            <w:tcBorders>
              <w:left w:val="single" w:color="000000" w:sz="4" w:space="0"/>
              <w:right w:val="single" w:color="000000" w:sz="4" w:space="0"/>
            </w:tcBorders>
            <w:shd w:val="clear" w:color="auto" w:fill="auto"/>
            <w:vAlign w:val="center"/>
          </w:tcPr>
          <w:p>
            <w:pPr>
              <w:widowControl/>
              <w:snapToGrid w:val="0"/>
              <w:spacing w:line="240" w:lineRule="atLeast"/>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555"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A05010203-定制钢木桌</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bidi="ar"/>
              </w:rPr>
              <w:drawing>
                <wp:anchor distT="0" distB="0" distL="114300" distR="114300" simplePos="0" relativeHeight="251660288" behindDoc="0" locked="0" layoutInCell="1" allowOverlap="1">
                  <wp:simplePos x="0" y="0"/>
                  <wp:positionH relativeFrom="column">
                    <wp:posOffset>102870</wp:posOffset>
                  </wp:positionH>
                  <wp:positionV relativeFrom="paragraph">
                    <wp:posOffset>1139825</wp:posOffset>
                  </wp:positionV>
                  <wp:extent cx="718185" cy="591185"/>
                  <wp:effectExtent l="0" t="0" r="5715" b="18415"/>
                  <wp:wrapNone/>
                  <wp:docPr id="2" name="图片_8"/>
                  <wp:cNvGraphicFramePr/>
                  <a:graphic xmlns:a="http://schemas.openxmlformats.org/drawingml/2006/main">
                    <a:graphicData uri="http://schemas.openxmlformats.org/drawingml/2006/picture">
                      <pic:pic xmlns:pic="http://schemas.openxmlformats.org/drawingml/2006/picture">
                        <pic:nvPicPr>
                          <pic:cNvPr id="2" name="图片_8"/>
                          <pic:cNvPicPr/>
                        </pic:nvPicPr>
                        <pic:blipFill>
                          <a:blip r:embed="rId6"/>
                          <a:stretch>
                            <a:fillRect/>
                          </a:stretch>
                        </pic:blipFill>
                        <pic:spPr>
                          <a:xfrm>
                            <a:off x="0" y="0"/>
                            <a:ext cx="718185" cy="591185"/>
                          </a:xfrm>
                          <a:prstGeom prst="rect">
                            <a:avLst/>
                          </a:prstGeom>
                          <a:noFill/>
                          <a:ln>
                            <a:noFill/>
                          </a:ln>
                        </pic:spPr>
                      </pic:pic>
                    </a:graphicData>
                  </a:graphic>
                </wp:anchor>
              </w:drawing>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1200*600*800（±5mm）</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768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9592" w:type="dxa"/>
            <w:vMerge w:val="continue"/>
            <w:tcBorders>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left"/>
              <w:textAlignment w:val="center"/>
              <w:rPr>
                <w:rFonts w:ascii="宋体" w:hAnsi="宋体" w:eastAsia="宋体" w:cs="宋体"/>
                <w:color w:val="000000"/>
                <w:sz w:val="20"/>
                <w:szCs w:val="20"/>
              </w:rPr>
            </w:pPr>
          </w:p>
        </w:tc>
      </w:tr>
    </w:tbl>
    <w:p>
      <w:pPr>
        <w:pStyle w:val="2"/>
        <w:numPr>
          <w:ilvl w:val="0"/>
          <w:numId w:val="0"/>
        </w:numPr>
        <w:rPr>
          <w:rFonts w:ascii="宋体" w:hAnsi="宋体" w:eastAsia="宋体"/>
          <w:sz w:val="20"/>
          <w:szCs w:val="20"/>
        </w:rPr>
      </w:pPr>
    </w:p>
    <w:p>
      <w:pPr>
        <w:pStyle w:val="3"/>
        <w:rPr>
          <w:rFonts w:ascii="宋体" w:hAnsi="宋体"/>
          <w:sz w:val="20"/>
          <w:szCs w:val="20"/>
        </w:rPr>
        <w:sectPr>
          <w:pgSz w:w="16838" w:h="11906" w:orient="landscape"/>
          <w:pgMar w:top="1800" w:right="1440" w:bottom="1800" w:left="1440" w:header="851" w:footer="992" w:gutter="0"/>
          <w:cols w:space="425" w:num="1"/>
          <w:docGrid w:type="lines" w:linePitch="312" w:charSpace="0"/>
        </w:sectPr>
      </w:pPr>
    </w:p>
    <w:p>
      <w:pPr>
        <w:jc w:val="center"/>
        <w:rPr>
          <w:rFonts w:ascii="宋体" w:hAnsi="宋体" w:eastAsia="宋体"/>
          <w:b/>
          <w:bCs/>
          <w:sz w:val="20"/>
          <w:szCs w:val="20"/>
        </w:rPr>
      </w:pPr>
      <w:r>
        <w:rPr>
          <w:rFonts w:hint="eastAsia" w:ascii="宋体" w:hAnsi="宋体" w:eastAsia="宋体"/>
          <w:b/>
          <w:bCs/>
          <w:sz w:val="20"/>
          <w:szCs w:val="20"/>
        </w:rPr>
        <w:t>西华大学2024年研究生</w:t>
      </w:r>
      <w:r>
        <w:rPr>
          <w:rFonts w:hint="eastAsia" w:ascii="宋体" w:hAnsi="宋体" w:eastAsia="宋体"/>
          <w:b/>
          <w:bCs/>
          <w:sz w:val="20"/>
          <w:szCs w:val="20"/>
          <w:lang w:val="en-US" w:eastAsia="zh-CN"/>
        </w:rPr>
        <w:t>工作室</w:t>
      </w:r>
      <w:r>
        <w:rPr>
          <w:rFonts w:hint="eastAsia" w:ascii="宋体" w:hAnsi="宋体" w:eastAsia="宋体"/>
          <w:b/>
          <w:bCs/>
          <w:sz w:val="20"/>
          <w:szCs w:val="20"/>
        </w:rPr>
        <w:t>定制桌家具综合评分法</w:t>
      </w:r>
    </w:p>
    <w:tbl>
      <w:tblPr>
        <w:tblStyle w:val="8"/>
        <w:tblW w:w="9473" w:type="dxa"/>
        <w:tblInd w:w="-56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
        <w:gridCol w:w="741"/>
        <w:gridCol w:w="6226"/>
        <w:gridCol w:w="831"/>
        <w:gridCol w:w="831"/>
        <w:gridCol w:w="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6" w:hRule="atLeast"/>
        </w:trPr>
        <w:tc>
          <w:tcPr>
            <w:tcW w:w="1571" w:type="dxa"/>
            <w:gridSpan w:val="2"/>
            <w:tcBorders>
              <w:top w:val="single" w:color="auto" w:sz="4" w:space="0"/>
              <w:right w:val="single" w:color="auto" w:sz="4" w:space="0"/>
            </w:tcBorders>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评审因素</w:t>
            </w:r>
          </w:p>
        </w:tc>
        <w:tc>
          <w:tcPr>
            <w:tcW w:w="790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1" w:type="dxa"/>
            <w:gridSpan w:val="2"/>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分值构成</w:t>
            </w:r>
          </w:p>
        </w:tc>
        <w:tc>
          <w:tcPr>
            <w:tcW w:w="7902" w:type="dxa"/>
            <w:gridSpan w:val="4"/>
            <w:tcBorders>
              <w:top w:val="single" w:color="auto" w:sz="4" w:space="0"/>
            </w:tcBorders>
            <w:vAlign w:val="center"/>
          </w:tcPr>
          <w:p>
            <w:pPr>
              <w:pStyle w:val="11"/>
              <w:snapToGrid w:val="0"/>
              <w:spacing w:line="240" w:lineRule="atLeast"/>
              <w:rPr>
                <w:rFonts w:hint="default" w:ascii="宋体" w:hAnsi="宋体" w:eastAsia="宋体"/>
              </w:rPr>
            </w:pPr>
            <w:r>
              <w:rPr>
                <w:rFonts w:ascii="宋体" w:hAnsi="宋体" w:eastAsia="宋体"/>
              </w:rPr>
              <w:t>详细评审70.00分</w:t>
            </w:r>
          </w:p>
          <w:p>
            <w:pPr>
              <w:pStyle w:val="11"/>
              <w:snapToGrid w:val="0"/>
              <w:spacing w:line="240" w:lineRule="atLeast"/>
              <w:rPr>
                <w:rFonts w:hint="default" w:ascii="宋体" w:hAnsi="宋体" w:eastAsia="宋体"/>
              </w:rPr>
            </w:pPr>
            <w:r>
              <w:rPr>
                <w:rFonts w:ascii="宋体" w:hAnsi="宋体" w:eastAsia="宋体"/>
              </w:rPr>
              <w:t>报价得分30.00分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4" w:type="dxa"/>
        </w:trPr>
        <w:tc>
          <w:tcPr>
            <w:tcW w:w="830" w:type="dxa"/>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评审因素分类</w:t>
            </w:r>
          </w:p>
        </w:tc>
        <w:tc>
          <w:tcPr>
            <w:tcW w:w="741" w:type="dxa"/>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评审项</w:t>
            </w:r>
          </w:p>
        </w:tc>
        <w:tc>
          <w:tcPr>
            <w:tcW w:w="6226" w:type="dxa"/>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详细描述</w:t>
            </w:r>
          </w:p>
        </w:tc>
        <w:tc>
          <w:tcPr>
            <w:tcW w:w="831" w:type="dxa"/>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分值</w:t>
            </w:r>
          </w:p>
        </w:tc>
        <w:tc>
          <w:tcPr>
            <w:tcW w:w="831" w:type="dxa"/>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客观/主观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4" w:type="dxa"/>
        </w:trPr>
        <w:tc>
          <w:tcPr>
            <w:tcW w:w="830" w:type="dxa"/>
            <w:vMerge w:val="restart"/>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详细评审</w:t>
            </w:r>
          </w:p>
        </w:tc>
        <w:tc>
          <w:tcPr>
            <w:tcW w:w="741" w:type="dxa"/>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产品技术参数及要求</w:t>
            </w:r>
          </w:p>
        </w:tc>
        <w:tc>
          <w:tcPr>
            <w:tcW w:w="6226" w:type="dxa"/>
            <w:vAlign w:val="center"/>
          </w:tcPr>
          <w:p>
            <w:pPr>
              <w:snapToGrid w:val="0"/>
              <w:spacing w:line="240" w:lineRule="atLeast"/>
              <w:rPr>
                <w:rFonts w:ascii="宋体" w:hAnsi="宋体" w:eastAsia="宋体"/>
                <w:sz w:val="20"/>
                <w:szCs w:val="20"/>
              </w:rPr>
            </w:pPr>
            <w:r>
              <w:rPr>
                <w:rFonts w:ascii="宋体" w:hAnsi="宋体" w:eastAsia="宋体"/>
                <w:sz w:val="20"/>
                <w:szCs w:val="20"/>
              </w:rPr>
              <w:t>1、投标人或</w:t>
            </w:r>
            <w:r>
              <w:rPr>
                <w:rFonts w:hint="eastAsia" w:ascii="宋体" w:hAnsi="宋体" w:eastAsia="宋体"/>
                <w:sz w:val="20"/>
                <w:szCs w:val="20"/>
              </w:rPr>
              <w:t>产品制造商</w:t>
            </w:r>
            <w:r>
              <w:rPr>
                <w:rFonts w:ascii="宋体" w:hAnsi="宋体" w:eastAsia="宋体"/>
                <w:sz w:val="20"/>
                <w:szCs w:val="20"/>
              </w:rPr>
              <w:t>提供采购文件对带“▲”项（共计</w:t>
            </w:r>
            <w:r>
              <w:rPr>
                <w:rFonts w:hint="eastAsia" w:ascii="宋体" w:hAnsi="宋体" w:eastAsia="宋体"/>
                <w:sz w:val="20"/>
                <w:szCs w:val="20"/>
              </w:rPr>
              <w:t>14</w:t>
            </w:r>
            <w:r>
              <w:rPr>
                <w:rFonts w:ascii="宋体" w:hAnsi="宋体" w:eastAsia="宋体"/>
                <w:sz w:val="20"/>
                <w:szCs w:val="20"/>
              </w:rPr>
              <w:t>项）重要技术参数技术要求的证明材料，全部满足得</w:t>
            </w:r>
            <w:r>
              <w:rPr>
                <w:rFonts w:hint="eastAsia" w:ascii="宋体" w:hAnsi="宋体" w:eastAsia="宋体"/>
                <w:sz w:val="20"/>
                <w:szCs w:val="20"/>
              </w:rPr>
              <w:t>28</w:t>
            </w:r>
            <w:r>
              <w:rPr>
                <w:rFonts w:ascii="宋体" w:hAnsi="宋体" w:eastAsia="宋体"/>
                <w:sz w:val="20"/>
                <w:szCs w:val="20"/>
              </w:rPr>
              <w:t>分，有一项不满足扣</w:t>
            </w:r>
            <w:r>
              <w:rPr>
                <w:rFonts w:hint="eastAsia" w:ascii="宋体" w:hAnsi="宋体" w:eastAsia="宋体"/>
                <w:sz w:val="20"/>
                <w:szCs w:val="20"/>
              </w:rPr>
              <w:t>2</w:t>
            </w:r>
            <w:r>
              <w:rPr>
                <w:rFonts w:ascii="宋体" w:hAnsi="宋体" w:eastAsia="宋体"/>
                <w:sz w:val="20"/>
                <w:szCs w:val="20"/>
              </w:rPr>
              <w:t>分，扣完为止。</w:t>
            </w:r>
          </w:p>
          <w:p>
            <w:pPr>
              <w:snapToGrid w:val="0"/>
              <w:spacing w:line="240" w:lineRule="atLeast"/>
              <w:rPr>
                <w:rFonts w:ascii="宋体" w:hAnsi="宋体" w:eastAsia="宋体"/>
                <w:sz w:val="20"/>
                <w:szCs w:val="20"/>
              </w:rPr>
            </w:pPr>
            <w:r>
              <w:rPr>
                <w:rFonts w:ascii="宋体" w:hAnsi="宋体" w:eastAsia="宋体"/>
                <w:sz w:val="20"/>
                <w:szCs w:val="20"/>
              </w:rPr>
              <w:t>2、一般性技术参数（共计</w:t>
            </w:r>
            <w:r>
              <w:rPr>
                <w:rFonts w:hint="eastAsia" w:ascii="宋体" w:hAnsi="宋体" w:eastAsia="宋体"/>
                <w:sz w:val="20"/>
                <w:szCs w:val="20"/>
              </w:rPr>
              <w:t>2</w:t>
            </w:r>
            <w:r>
              <w:rPr>
                <w:rFonts w:ascii="宋体" w:hAnsi="宋体" w:eastAsia="宋体"/>
                <w:sz w:val="20"/>
                <w:szCs w:val="20"/>
              </w:rPr>
              <w:t>项）条款以技术参数偏离表响应为准，全部满足得</w:t>
            </w:r>
            <w:r>
              <w:rPr>
                <w:rFonts w:hint="eastAsia" w:ascii="宋体" w:hAnsi="宋体" w:eastAsia="宋体"/>
                <w:sz w:val="20"/>
                <w:szCs w:val="20"/>
              </w:rPr>
              <w:t>2</w:t>
            </w:r>
            <w:r>
              <w:rPr>
                <w:rFonts w:ascii="宋体" w:hAnsi="宋体" w:eastAsia="宋体"/>
                <w:sz w:val="20"/>
                <w:szCs w:val="20"/>
              </w:rPr>
              <w:t>分，有一项不满足扣</w:t>
            </w:r>
            <w:r>
              <w:rPr>
                <w:rFonts w:hint="eastAsia" w:ascii="宋体" w:hAnsi="宋体" w:eastAsia="宋体"/>
                <w:sz w:val="20"/>
                <w:szCs w:val="20"/>
              </w:rPr>
              <w:t>1</w:t>
            </w:r>
            <w:r>
              <w:rPr>
                <w:rFonts w:ascii="宋体" w:hAnsi="宋体" w:eastAsia="宋体"/>
                <w:sz w:val="20"/>
                <w:szCs w:val="20"/>
              </w:rPr>
              <w:t xml:space="preserve">分，扣完为止。 </w:t>
            </w:r>
          </w:p>
          <w:p>
            <w:pPr>
              <w:snapToGrid w:val="0"/>
              <w:spacing w:line="240" w:lineRule="atLeast"/>
              <w:rPr>
                <w:rFonts w:ascii="宋体" w:hAnsi="宋体" w:eastAsia="宋体"/>
                <w:sz w:val="20"/>
                <w:szCs w:val="20"/>
              </w:rPr>
            </w:pPr>
            <w:r>
              <w:rPr>
                <w:rFonts w:hint="eastAsia" w:ascii="宋体" w:hAnsi="宋体" w:eastAsia="宋体"/>
                <w:sz w:val="20"/>
                <w:szCs w:val="20"/>
              </w:rPr>
              <w:t>注：带“▲”重要技术参数技术要求的需投标人或产品制造商提供由第三方检测机构出具的检验检测报告复印件及检验检测报告编号在全国认证认可信息公共服务平台</w:t>
            </w:r>
            <w:r>
              <w:rPr>
                <w:rFonts w:ascii="宋体" w:hAnsi="宋体" w:eastAsia="宋体"/>
                <w:sz w:val="20"/>
                <w:szCs w:val="20"/>
              </w:rPr>
              <w:t>(认监委官网http://cx.cnca.cn)上的查询截图进行佐证方能得分，否则不给分；技术要求只作评审使用，不作为资格审查。</w:t>
            </w:r>
          </w:p>
        </w:tc>
        <w:tc>
          <w:tcPr>
            <w:tcW w:w="831" w:type="dxa"/>
            <w:vAlign w:val="center"/>
          </w:tcPr>
          <w:p>
            <w:pPr>
              <w:snapToGrid w:val="0"/>
              <w:spacing w:line="240" w:lineRule="atLeast"/>
              <w:jc w:val="center"/>
              <w:rPr>
                <w:rFonts w:ascii="宋体" w:hAnsi="宋体" w:eastAsia="宋体"/>
                <w:sz w:val="20"/>
                <w:szCs w:val="20"/>
              </w:rPr>
            </w:pPr>
            <w:r>
              <w:rPr>
                <w:rFonts w:hint="eastAsia" w:ascii="宋体" w:hAnsi="宋体" w:eastAsia="宋体"/>
                <w:sz w:val="20"/>
                <w:szCs w:val="20"/>
              </w:rPr>
              <w:t>30</w:t>
            </w:r>
          </w:p>
        </w:tc>
        <w:tc>
          <w:tcPr>
            <w:tcW w:w="831" w:type="dxa"/>
            <w:vAlign w:val="center"/>
          </w:tcPr>
          <w:p>
            <w:pPr>
              <w:snapToGrid w:val="0"/>
              <w:spacing w:line="240" w:lineRule="atLeast"/>
              <w:rPr>
                <w:rFonts w:ascii="宋体" w:hAnsi="宋体" w:eastAsia="宋体"/>
                <w:sz w:val="20"/>
                <w:szCs w:val="20"/>
              </w:rPr>
            </w:pPr>
            <w:r>
              <w:rPr>
                <w:rFonts w:ascii="宋体" w:hAnsi="宋体" w:eastAsia="宋体"/>
                <w:sz w:val="20"/>
                <w:szCs w:val="20"/>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4" w:type="dxa"/>
        </w:trPr>
        <w:tc>
          <w:tcPr>
            <w:tcW w:w="830" w:type="dxa"/>
            <w:vMerge w:val="continue"/>
            <w:vAlign w:val="center"/>
          </w:tcPr>
          <w:p>
            <w:pPr>
              <w:snapToGrid w:val="0"/>
              <w:spacing w:line="240" w:lineRule="atLeast"/>
              <w:jc w:val="center"/>
              <w:rPr>
                <w:rFonts w:ascii="宋体" w:hAnsi="宋体" w:eastAsia="宋体"/>
                <w:sz w:val="20"/>
                <w:szCs w:val="20"/>
              </w:rPr>
            </w:pPr>
          </w:p>
        </w:tc>
        <w:tc>
          <w:tcPr>
            <w:tcW w:w="741" w:type="dxa"/>
            <w:vAlign w:val="center"/>
          </w:tcPr>
          <w:p>
            <w:pPr>
              <w:snapToGrid w:val="0"/>
              <w:spacing w:line="240" w:lineRule="atLeast"/>
              <w:jc w:val="center"/>
              <w:rPr>
                <w:rFonts w:ascii="宋体" w:hAnsi="宋体" w:eastAsia="宋体"/>
                <w:sz w:val="20"/>
                <w:szCs w:val="20"/>
              </w:rPr>
            </w:pPr>
            <w:r>
              <w:rPr>
                <w:rFonts w:hint="eastAsia" w:ascii="宋体" w:hAnsi="宋体" w:eastAsia="宋体"/>
                <w:sz w:val="20"/>
                <w:szCs w:val="20"/>
              </w:rPr>
              <w:t>产品质量</w:t>
            </w:r>
          </w:p>
        </w:tc>
        <w:tc>
          <w:tcPr>
            <w:tcW w:w="6226" w:type="dxa"/>
            <w:vAlign w:val="center"/>
          </w:tcPr>
          <w:p>
            <w:pP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投标人或</w:t>
            </w:r>
            <w:r>
              <w:rPr>
                <w:rFonts w:hint="eastAsia" w:ascii="宋体" w:hAnsi="宋体" w:eastAsia="宋体"/>
                <w:sz w:val="20"/>
                <w:szCs w:val="20"/>
              </w:rPr>
              <w:t>产品制造商具有有效期内的有害物质限量产品认证证书且认证证书且范围适用于：木家具、结构性钢木制品。全部满足的得3</w:t>
            </w:r>
            <w:r>
              <w:rPr>
                <w:rFonts w:ascii="宋体" w:hAnsi="宋体" w:eastAsia="宋体"/>
                <w:sz w:val="20"/>
                <w:szCs w:val="20"/>
              </w:rPr>
              <w:t>分</w:t>
            </w:r>
            <w:r>
              <w:rPr>
                <w:rFonts w:hint="eastAsia" w:ascii="宋体" w:hAnsi="宋体" w:eastAsia="宋体"/>
                <w:sz w:val="20"/>
                <w:szCs w:val="20"/>
              </w:rPr>
              <w:t>，</w:t>
            </w:r>
            <w:r>
              <w:rPr>
                <w:rFonts w:ascii="宋体" w:hAnsi="宋体" w:eastAsia="宋体"/>
                <w:sz w:val="20"/>
                <w:szCs w:val="20"/>
              </w:rPr>
              <w:t xml:space="preserve">提供但范围不满足的得1分。不提供不得分。 </w:t>
            </w:r>
          </w:p>
          <w:p>
            <w:pPr>
              <w:snapToGrid w:val="0"/>
              <w:spacing w:line="240" w:lineRule="atLeast"/>
              <w:rPr>
                <w:rFonts w:ascii="宋体" w:hAnsi="宋体" w:eastAsia="宋体"/>
                <w:sz w:val="20"/>
                <w:szCs w:val="20"/>
              </w:rPr>
            </w:pPr>
            <w:r>
              <w:rPr>
                <w:rFonts w:hint="eastAsia" w:ascii="宋体" w:hAnsi="宋体" w:eastAsia="宋体"/>
                <w:sz w:val="20"/>
                <w:szCs w:val="20"/>
              </w:rPr>
              <w:t>2、投标人或产品制造商具有绿色供应链评价证书，且认证范围包含本次采购产品相关：木质（制）家具、结构性钢木制品、运输保障、售后安装。全部满足得3分，提供但范围不满足的得1分。</w:t>
            </w:r>
            <w:r>
              <w:rPr>
                <w:rFonts w:ascii="宋体" w:hAnsi="宋体" w:eastAsia="宋体"/>
                <w:sz w:val="20"/>
                <w:szCs w:val="20"/>
              </w:rPr>
              <w:t xml:space="preserve"> </w:t>
            </w:r>
          </w:p>
          <w:p>
            <w:pPr>
              <w:snapToGrid w:val="0"/>
              <w:spacing w:line="240" w:lineRule="atLeast"/>
              <w:rPr>
                <w:rFonts w:ascii="宋体" w:hAnsi="宋体" w:eastAsia="宋体"/>
                <w:sz w:val="20"/>
                <w:szCs w:val="20"/>
              </w:rPr>
            </w:pPr>
            <w:r>
              <w:rPr>
                <w:rFonts w:hint="eastAsia" w:ascii="宋体" w:hAnsi="宋体" w:eastAsia="宋体"/>
                <w:sz w:val="20"/>
                <w:szCs w:val="20"/>
              </w:rPr>
              <w:t>3、投标人或产品制造商具有履约能力达标测评认证证书且认证产品包含：木质（制）家具、结构性钢木制品、运输保障、售后安装。全部满足得3分，提供但范围不满足的得1分</w:t>
            </w:r>
          </w:p>
          <w:p>
            <w:pPr>
              <w:snapToGrid w:val="0"/>
              <w:spacing w:line="240" w:lineRule="atLeast"/>
              <w:rPr>
                <w:rFonts w:ascii="宋体" w:hAnsi="宋体" w:eastAsia="宋体"/>
                <w:sz w:val="20"/>
                <w:szCs w:val="20"/>
              </w:rPr>
            </w:pPr>
            <w:r>
              <w:rPr>
                <w:rFonts w:ascii="宋体" w:hAnsi="宋体" w:eastAsia="宋体"/>
                <w:sz w:val="20"/>
                <w:szCs w:val="20"/>
              </w:rPr>
              <w:t>注：提供复印件盖鲜章及</w:t>
            </w:r>
            <w:r>
              <w:rPr>
                <w:rFonts w:hint="eastAsia" w:ascii="宋体" w:hAnsi="宋体" w:eastAsia="宋体" w:cs="宋体"/>
                <w:bCs/>
                <w:sz w:val="20"/>
                <w:szCs w:val="20"/>
              </w:rPr>
              <w:t>全国认证认可信息公共服务平台（http://cx.cnca.cn）查询截图</w:t>
            </w:r>
            <w:r>
              <w:rPr>
                <w:rFonts w:ascii="宋体" w:hAnsi="宋体" w:eastAsia="宋体"/>
                <w:sz w:val="20"/>
                <w:szCs w:val="20"/>
              </w:rPr>
              <w:t>方能得分，否则不给分</w:t>
            </w:r>
            <w:r>
              <w:rPr>
                <w:rFonts w:hint="eastAsia" w:ascii="宋体" w:hAnsi="宋体" w:eastAsia="宋体"/>
                <w:sz w:val="20"/>
                <w:szCs w:val="20"/>
              </w:rPr>
              <w:t>。</w:t>
            </w:r>
          </w:p>
        </w:tc>
        <w:tc>
          <w:tcPr>
            <w:tcW w:w="831" w:type="dxa"/>
            <w:vAlign w:val="center"/>
          </w:tcPr>
          <w:p>
            <w:pPr>
              <w:snapToGrid w:val="0"/>
              <w:spacing w:line="240" w:lineRule="atLeast"/>
              <w:jc w:val="center"/>
              <w:rPr>
                <w:rFonts w:ascii="宋体" w:hAnsi="宋体" w:eastAsia="宋体"/>
                <w:sz w:val="20"/>
                <w:szCs w:val="20"/>
              </w:rPr>
            </w:pPr>
            <w:r>
              <w:rPr>
                <w:rFonts w:hint="eastAsia" w:ascii="宋体" w:hAnsi="宋体" w:eastAsia="宋体"/>
                <w:sz w:val="20"/>
                <w:szCs w:val="20"/>
              </w:rPr>
              <w:t>9</w:t>
            </w:r>
            <w:r>
              <w:rPr>
                <w:rFonts w:ascii="宋体" w:hAnsi="宋体" w:eastAsia="宋体"/>
                <w:sz w:val="20"/>
                <w:szCs w:val="20"/>
              </w:rPr>
              <w:t>.00</w:t>
            </w:r>
          </w:p>
        </w:tc>
        <w:tc>
          <w:tcPr>
            <w:tcW w:w="831" w:type="dxa"/>
            <w:vAlign w:val="center"/>
          </w:tcPr>
          <w:p>
            <w:pPr>
              <w:snapToGrid w:val="0"/>
              <w:spacing w:line="240" w:lineRule="atLeast"/>
              <w:rPr>
                <w:rFonts w:ascii="宋体" w:hAnsi="宋体" w:eastAsia="宋体"/>
                <w:sz w:val="20"/>
                <w:szCs w:val="20"/>
              </w:rPr>
            </w:pPr>
            <w:r>
              <w:rPr>
                <w:rFonts w:ascii="宋体" w:hAnsi="宋体" w:eastAsia="宋体"/>
                <w:sz w:val="20"/>
                <w:szCs w:val="20"/>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4" w:type="dxa"/>
          <w:trHeight w:val="3422" w:hRule="atLeast"/>
        </w:trPr>
        <w:tc>
          <w:tcPr>
            <w:tcW w:w="830" w:type="dxa"/>
            <w:vMerge w:val="continue"/>
            <w:vAlign w:val="center"/>
          </w:tcPr>
          <w:p>
            <w:pPr>
              <w:snapToGrid w:val="0"/>
              <w:spacing w:line="240" w:lineRule="atLeast"/>
              <w:jc w:val="center"/>
              <w:rPr>
                <w:rFonts w:ascii="宋体" w:hAnsi="宋体" w:eastAsia="宋体"/>
                <w:sz w:val="20"/>
                <w:szCs w:val="20"/>
              </w:rPr>
            </w:pPr>
          </w:p>
        </w:tc>
        <w:tc>
          <w:tcPr>
            <w:tcW w:w="741" w:type="dxa"/>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样品</w:t>
            </w:r>
          </w:p>
        </w:tc>
        <w:tc>
          <w:tcPr>
            <w:tcW w:w="6226" w:type="dxa"/>
            <w:vAlign w:val="center"/>
          </w:tcPr>
          <w:p>
            <w:pPr>
              <w:rPr>
                <w:rFonts w:ascii="宋体" w:hAnsi="宋体" w:eastAsia="宋体"/>
                <w:sz w:val="20"/>
                <w:szCs w:val="20"/>
              </w:rPr>
            </w:pPr>
            <w:r>
              <w:rPr>
                <w:rFonts w:hint="eastAsia" w:ascii="宋体" w:hAnsi="宋体" w:eastAsia="宋体"/>
                <w:sz w:val="20"/>
                <w:szCs w:val="20"/>
              </w:rPr>
              <w:t>根据投标人提供的样品情况进行评审：</w:t>
            </w:r>
          </w:p>
          <w:p>
            <w:pPr>
              <w:rPr>
                <w:rFonts w:ascii="宋体" w:hAnsi="宋体" w:eastAsia="宋体"/>
                <w:sz w:val="20"/>
                <w:szCs w:val="20"/>
              </w:rPr>
            </w:pPr>
            <w:r>
              <w:rPr>
                <w:rFonts w:hint="eastAsia" w:ascii="宋体" w:hAnsi="宋体" w:eastAsia="宋体"/>
                <w:sz w:val="20"/>
                <w:szCs w:val="20"/>
              </w:rPr>
              <w:t>1、实木颗粒板一块（颜色不限，规格200*200*25mm（±3mm））：</w:t>
            </w:r>
          </w:p>
          <w:p>
            <w:pPr>
              <w:rPr>
                <w:rFonts w:ascii="宋体" w:hAnsi="宋体" w:eastAsia="宋体"/>
                <w:sz w:val="20"/>
                <w:szCs w:val="20"/>
              </w:rPr>
            </w:pPr>
            <w:r>
              <w:rPr>
                <w:rFonts w:ascii="宋体" w:hAnsi="宋体" w:eastAsia="宋体"/>
                <w:sz w:val="20"/>
                <w:szCs w:val="20"/>
              </w:rPr>
              <w:t>①板材无裂缝，表面无划伤、麻点、裂痕、封边不脱胶、不鼓泡，无异味；</w:t>
            </w:r>
          </w:p>
          <w:p>
            <w:pPr>
              <w:rPr>
                <w:rFonts w:ascii="宋体" w:hAnsi="宋体" w:eastAsia="宋体"/>
                <w:sz w:val="20"/>
                <w:szCs w:val="20"/>
              </w:rPr>
            </w:pPr>
            <w:r>
              <w:rPr>
                <w:rFonts w:ascii="宋体" w:hAnsi="宋体" w:eastAsia="宋体"/>
                <w:sz w:val="20"/>
                <w:szCs w:val="20"/>
              </w:rPr>
              <w:t xml:space="preserve">②制作要求：三面封边、双饰面。 </w:t>
            </w:r>
          </w:p>
          <w:p>
            <w:pPr>
              <w:rPr>
                <w:rFonts w:ascii="宋体" w:hAnsi="宋体" w:eastAsia="宋体"/>
                <w:sz w:val="20"/>
                <w:szCs w:val="20"/>
              </w:rPr>
            </w:pPr>
            <w:r>
              <w:rPr>
                <w:rFonts w:ascii="宋体" w:hAnsi="宋体" w:eastAsia="宋体"/>
                <w:sz w:val="20"/>
                <w:szCs w:val="20"/>
              </w:rPr>
              <w:t>注：完全满足上述“①、②”得</w:t>
            </w:r>
            <w:r>
              <w:rPr>
                <w:rFonts w:hint="eastAsia" w:ascii="宋体" w:hAnsi="宋体" w:eastAsia="宋体"/>
                <w:sz w:val="20"/>
                <w:szCs w:val="20"/>
              </w:rPr>
              <w:t>4</w:t>
            </w:r>
            <w:r>
              <w:rPr>
                <w:rFonts w:ascii="宋体" w:hAnsi="宋体" w:eastAsia="宋体"/>
                <w:sz w:val="20"/>
                <w:szCs w:val="20"/>
              </w:rPr>
              <w:t>分，每有一项不满足每项扣</w:t>
            </w:r>
            <w:r>
              <w:rPr>
                <w:rFonts w:hint="eastAsia" w:ascii="宋体" w:hAnsi="宋体" w:eastAsia="宋体"/>
                <w:sz w:val="20"/>
                <w:szCs w:val="20"/>
              </w:rPr>
              <w:t>2</w:t>
            </w:r>
            <w:r>
              <w:rPr>
                <w:rFonts w:ascii="宋体" w:hAnsi="宋体" w:eastAsia="宋体"/>
                <w:sz w:val="20"/>
                <w:szCs w:val="20"/>
              </w:rPr>
              <w:t>分，扣完为止。</w:t>
            </w:r>
          </w:p>
          <w:p>
            <w:pPr>
              <w:rPr>
                <w:rFonts w:ascii="宋体" w:hAnsi="宋体" w:eastAsia="宋体"/>
                <w:sz w:val="20"/>
                <w:szCs w:val="20"/>
              </w:rPr>
            </w:pPr>
            <w:r>
              <w:rPr>
                <w:rFonts w:hint="eastAsia" w:ascii="宋体" w:hAnsi="宋体" w:eastAsia="宋体"/>
                <w:sz w:val="20"/>
                <w:szCs w:val="20"/>
              </w:rPr>
              <w:t>2、桌脚立柱：颜色不限；规格≥40*40*1.2mm（±3mm）</w:t>
            </w:r>
          </w:p>
          <w:p>
            <w:pPr>
              <w:rPr>
                <w:rFonts w:ascii="宋体" w:hAnsi="宋体" w:eastAsia="宋体"/>
                <w:sz w:val="20"/>
                <w:szCs w:val="20"/>
              </w:rPr>
            </w:pPr>
            <w:r>
              <w:rPr>
                <w:rFonts w:hint="eastAsia" w:ascii="宋体" w:hAnsi="宋体" w:eastAsia="宋体"/>
                <w:sz w:val="20"/>
                <w:szCs w:val="20"/>
              </w:rPr>
              <w:t>①钢架部分无尖刺、无毛刺；</w:t>
            </w:r>
          </w:p>
          <w:p>
            <w:pPr>
              <w:rPr>
                <w:rFonts w:ascii="宋体" w:hAnsi="宋体" w:eastAsia="宋体"/>
                <w:sz w:val="20"/>
                <w:szCs w:val="20"/>
              </w:rPr>
            </w:pPr>
            <w:r>
              <w:rPr>
                <w:rFonts w:hint="eastAsia" w:ascii="宋体" w:hAnsi="宋体" w:eastAsia="宋体"/>
                <w:sz w:val="20"/>
                <w:szCs w:val="20"/>
              </w:rPr>
              <w:t>②涂层无漏喷、锈蚀和脱色、掉色现象，涂层光滑均匀，色泽一致。</w:t>
            </w:r>
          </w:p>
          <w:p>
            <w:pPr>
              <w:rPr>
                <w:rFonts w:ascii="宋体" w:hAnsi="宋体" w:eastAsia="宋体"/>
                <w:sz w:val="20"/>
                <w:szCs w:val="20"/>
              </w:rPr>
            </w:pPr>
            <w:r>
              <w:rPr>
                <w:rFonts w:ascii="宋体" w:hAnsi="宋体" w:eastAsia="宋体"/>
                <w:sz w:val="20"/>
                <w:szCs w:val="20"/>
              </w:rPr>
              <w:t>注：完全满足上述“①、②”得</w:t>
            </w:r>
            <w:r>
              <w:rPr>
                <w:rFonts w:hint="eastAsia" w:ascii="宋体" w:hAnsi="宋体" w:eastAsia="宋体"/>
                <w:sz w:val="20"/>
                <w:szCs w:val="20"/>
              </w:rPr>
              <w:t>4</w:t>
            </w:r>
            <w:r>
              <w:rPr>
                <w:rFonts w:ascii="宋体" w:hAnsi="宋体" w:eastAsia="宋体"/>
                <w:sz w:val="20"/>
                <w:szCs w:val="20"/>
              </w:rPr>
              <w:t>分，每有一项不满足每项扣</w:t>
            </w:r>
            <w:r>
              <w:rPr>
                <w:rFonts w:hint="eastAsia" w:ascii="宋体" w:hAnsi="宋体" w:eastAsia="宋体"/>
                <w:sz w:val="20"/>
                <w:szCs w:val="20"/>
              </w:rPr>
              <w:t>2</w:t>
            </w:r>
            <w:r>
              <w:rPr>
                <w:rFonts w:ascii="宋体" w:hAnsi="宋体" w:eastAsia="宋体"/>
                <w:sz w:val="20"/>
                <w:szCs w:val="20"/>
              </w:rPr>
              <w:t>分，扣完为止。</w:t>
            </w:r>
          </w:p>
        </w:tc>
        <w:tc>
          <w:tcPr>
            <w:tcW w:w="831" w:type="dxa"/>
            <w:vAlign w:val="center"/>
          </w:tcPr>
          <w:p>
            <w:pPr>
              <w:snapToGrid w:val="0"/>
              <w:spacing w:line="240" w:lineRule="atLeast"/>
              <w:jc w:val="center"/>
              <w:rPr>
                <w:rFonts w:ascii="宋体" w:hAnsi="宋体" w:eastAsia="宋体"/>
                <w:sz w:val="20"/>
                <w:szCs w:val="20"/>
              </w:rPr>
            </w:pPr>
            <w:r>
              <w:rPr>
                <w:rFonts w:hint="eastAsia" w:ascii="宋体" w:hAnsi="宋体" w:eastAsia="宋体"/>
                <w:sz w:val="20"/>
                <w:szCs w:val="20"/>
              </w:rPr>
              <w:t>8</w:t>
            </w:r>
            <w:r>
              <w:rPr>
                <w:rFonts w:ascii="宋体" w:hAnsi="宋体" w:eastAsia="宋体"/>
                <w:sz w:val="20"/>
                <w:szCs w:val="20"/>
              </w:rPr>
              <w:t>.00</w:t>
            </w:r>
          </w:p>
        </w:tc>
        <w:tc>
          <w:tcPr>
            <w:tcW w:w="831" w:type="dxa"/>
            <w:vAlign w:val="center"/>
          </w:tcPr>
          <w:p>
            <w:pPr>
              <w:snapToGrid w:val="0"/>
              <w:spacing w:line="240" w:lineRule="atLeast"/>
              <w:rPr>
                <w:rFonts w:ascii="宋体" w:hAnsi="宋体" w:eastAsia="宋体"/>
                <w:sz w:val="20"/>
                <w:szCs w:val="20"/>
              </w:rPr>
            </w:pPr>
            <w:r>
              <w:rPr>
                <w:rFonts w:ascii="宋体" w:hAnsi="宋体" w:eastAsia="宋体"/>
                <w:sz w:val="20"/>
                <w:szCs w:val="20"/>
              </w:rPr>
              <w:t>主观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4" w:type="dxa"/>
        </w:trPr>
        <w:tc>
          <w:tcPr>
            <w:tcW w:w="830" w:type="dxa"/>
            <w:vMerge w:val="continue"/>
            <w:vAlign w:val="center"/>
          </w:tcPr>
          <w:p>
            <w:pPr>
              <w:snapToGrid w:val="0"/>
              <w:spacing w:line="240" w:lineRule="atLeast"/>
              <w:jc w:val="center"/>
              <w:rPr>
                <w:rFonts w:ascii="宋体" w:hAnsi="宋体" w:eastAsia="宋体"/>
                <w:sz w:val="20"/>
                <w:szCs w:val="20"/>
              </w:rPr>
            </w:pPr>
          </w:p>
        </w:tc>
        <w:tc>
          <w:tcPr>
            <w:tcW w:w="741" w:type="dxa"/>
            <w:vAlign w:val="center"/>
          </w:tcPr>
          <w:p>
            <w:pPr>
              <w:snapToGrid w:val="0"/>
              <w:spacing w:line="240" w:lineRule="atLeast"/>
              <w:jc w:val="center"/>
              <w:rPr>
                <w:rFonts w:ascii="宋体" w:hAnsi="宋体" w:eastAsia="宋体"/>
                <w:sz w:val="20"/>
                <w:szCs w:val="20"/>
              </w:rPr>
            </w:pPr>
            <w:r>
              <w:rPr>
                <w:rFonts w:hint="eastAsia" w:ascii="宋体" w:hAnsi="宋体" w:eastAsia="宋体"/>
                <w:sz w:val="20"/>
                <w:szCs w:val="20"/>
              </w:rPr>
              <w:t>履约能力</w:t>
            </w:r>
          </w:p>
        </w:tc>
        <w:tc>
          <w:tcPr>
            <w:tcW w:w="6226" w:type="dxa"/>
          </w:tcPr>
          <w:p>
            <w:pPr>
              <w:pStyle w:val="11"/>
              <w:snapToGrid w:val="0"/>
              <w:spacing w:line="240" w:lineRule="atLeast"/>
              <w:rPr>
                <w:rFonts w:hint="default" w:ascii="宋体" w:hAnsi="宋体" w:eastAsia="宋体"/>
                <w:kern w:val="2"/>
                <w:lang w:eastAsia="zh-CN"/>
              </w:rPr>
            </w:pPr>
            <w:r>
              <w:rPr>
                <w:rFonts w:ascii="宋体" w:hAnsi="宋体" w:eastAsia="宋体"/>
                <w:lang w:eastAsia="zh-CN"/>
              </w:rPr>
              <w:t>1、</w:t>
            </w:r>
            <w:r>
              <w:rPr>
                <w:rFonts w:ascii="宋体" w:hAnsi="宋体" w:eastAsia="宋体"/>
              </w:rPr>
              <w:t>投标人或产品制造商</w:t>
            </w:r>
            <w:r>
              <w:rPr>
                <w:rFonts w:ascii="宋体" w:hAnsi="宋体" w:eastAsia="宋体"/>
                <w:kern w:val="2"/>
                <w:lang w:eastAsia="zh-CN"/>
              </w:rPr>
              <w:t>提供202</w:t>
            </w:r>
            <w:r>
              <w:rPr>
                <w:rFonts w:hint="default" w:ascii="宋体" w:hAnsi="宋体" w:eastAsia="宋体"/>
                <w:kern w:val="2"/>
                <w:lang w:eastAsia="zh-CN"/>
              </w:rPr>
              <w:t>2</w:t>
            </w:r>
            <w:r>
              <w:rPr>
                <w:rFonts w:ascii="宋体" w:hAnsi="宋体" w:eastAsia="宋体"/>
                <w:kern w:val="2"/>
                <w:lang w:eastAsia="zh-CN"/>
              </w:rPr>
              <w:t>年1月1日至今的家具类产品业绩，每提供1份业绩得</w:t>
            </w:r>
            <w:r>
              <w:rPr>
                <w:rFonts w:hint="default" w:ascii="宋体" w:hAnsi="宋体" w:eastAsia="宋体"/>
                <w:kern w:val="2"/>
                <w:lang w:eastAsia="zh-CN"/>
              </w:rPr>
              <w:t>1</w:t>
            </w:r>
            <w:r>
              <w:rPr>
                <w:rFonts w:ascii="宋体" w:hAnsi="宋体" w:eastAsia="宋体"/>
                <w:kern w:val="2"/>
                <w:lang w:eastAsia="zh-CN"/>
              </w:rPr>
              <w:t>分，本项最多得2分。 （说明：提供合同复印件和合同款项支付的银行凭证复印件）</w:t>
            </w:r>
          </w:p>
        </w:tc>
        <w:tc>
          <w:tcPr>
            <w:tcW w:w="831" w:type="dxa"/>
            <w:vAlign w:val="center"/>
          </w:tcPr>
          <w:p>
            <w:pPr>
              <w:snapToGrid w:val="0"/>
              <w:spacing w:line="240" w:lineRule="atLeast"/>
              <w:jc w:val="center"/>
              <w:rPr>
                <w:rFonts w:ascii="宋体" w:hAnsi="宋体" w:eastAsia="宋体"/>
                <w:sz w:val="20"/>
                <w:szCs w:val="20"/>
              </w:rPr>
            </w:pPr>
            <w:r>
              <w:rPr>
                <w:rFonts w:hint="eastAsia" w:ascii="宋体" w:hAnsi="宋体" w:eastAsia="宋体"/>
                <w:sz w:val="20"/>
                <w:szCs w:val="20"/>
              </w:rPr>
              <w:t>2</w:t>
            </w:r>
            <w:r>
              <w:rPr>
                <w:rFonts w:ascii="宋体" w:hAnsi="宋体" w:eastAsia="宋体"/>
                <w:sz w:val="20"/>
                <w:szCs w:val="20"/>
              </w:rPr>
              <w:t>.00</w:t>
            </w:r>
          </w:p>
        </w:tc>
        <w:tc>
          <w:tcPr>
            <w:tcW w:w="831" w:type="dxa"/>
            <w:vAlign w:val="center"/>
          </w:tcPr>
          <w:p>
            <w:pPr>
              <w:snapToGrid w:val="0"/>
              <w:spacing w:line="240" w:lineRule="atLeast"/>
              <w:rPr>
                <w:rFonts w:ascii="宋体" w:hAnsi="宋体" w:eastAsia="宋体"/>
                <w:sz w:val="20"/>
                <w:szCs w:val="20"/>
              </w:rPr>
            </w:pPr>
            <w:r>
              <w:rPr>
                <w:rFonts w:ascii="宋体" w:hAnsi="宋体" w:eastAsia="宋体"/>
                <w:sz w:val="20"/>
                <w:szCs w:val="20"/>
              </w:rPr>
              <w:t>客观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4" w:type="dxa"/>
        </w:trPr>
        <w:tc>
          <w:tcPr>
            <w:tcW w:w="830" w:type="dxa"/>
            <w:vMerge w:val="continue"/>
            <w:vAlign w:val="center"/>
          </w:tcPr>
          <w:p>
            <w:pPr>
              <w:snapToGrid w:val="0"/>
              <w:spacing w:line="240" w:lineRule="atLeast"/>
              <w:jc w:val="center"/>
              <w:rPr>
                <w:rFonts w:ascii="宋体" w:hAnsi="宋体" w:eastAsia="宋体"/>
                <w:sz w:val="20"/>
                <w:szCs w:val="20"/>
              </w:rPr>
            </w:pPr>
          </w:p>
        </w:tc>
        <w:tc>
          <w:tcPr>
            <w:tcW w:w="741" w:type="dxa"/>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项目实施方案</w:t>
            </w:r>
          </w:p>
        </w:tc>
        <w:tc>
          <w:tcPr>
            <w:tcW w:w="6226" w:type="dxa"/>
            <w:vAlign w:val="center"/>
          </w:tcPr>
          <w:p>
            <w:pPr>
              <w:snapToGrid w:val="0"/>
              <w:spacing w:line="240" w:lineRule="atLeast"/>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、投标人或产品制造商需根据招标文件要求提供项目实施方案，方案内容包含：</w:t>
            </w:r>
          </w:p>
          <w:p>
            <w:pPr>
              <w:snapToGrid w:val="0"/>
              <w:spacing w:line="240" w:lineRule="atLeast"/>
              <w:rPr>
                <w:rFonts w:ascii="宋体" w:hAnsi="宋体" w:eastAsia="宋体"/>
                <w:sz w:val="20"/>
                <w:szCs w:val="20"/>
              </w:rPr>
            </w:pPr>
            <w:r>
              <w:rPr>
                <w:rFonts w:hint="eastAsia" w:ascii="宋体" w:hAnsi="宋体" w:eastAsia="宋体"/>
                <w:sz w:val="20"/>
                <w:szCs w:val="20"/>
              </w:rPr>
              <w:t>①材料供应质量控制措施；</w:t>
            </w:r>
          </w:p>
          <w:p>
            <w:pPr>
              <w:snapToGrid w:val="0"/>
              <w:spacing w:line="240" w:lineRule="atLeast"/>
              <w:rPr>
                <w:rFonts w:ascii="宋体" w:hAnsi="宋体" w:eastAsia="宋体"/>
                <w:sz w:val="20"/>
                <w:szCs w:val="20"/>
              </w:rPr>
            </w:pPr>
            <w:r>
              <w:rPr>
                <w:rFonts w:hint="eastAsia" w:ascii="宋体" w:hAnsi="宋体" w:eastAsia="宋体"/>
                <w:sz w:val="20"/>
                <w:szCs w:val="20"/>
              </w:rPr>
              <w:t>②成品质量控制措施；</w:t>
            </w:r>
          </w:p>
          <w:p>
            <w:pPr>
              <w:snapToGrid w:val="0"/>
              <w:spacing w:line="240" w:lineRule="atLeast"/>
              <w:rPr>
                <w:rFonts w:ascii="宋体" w:hAnsi="宋体" w:eastAsia="宋体"/>
                <w:sz w:val="20"/>
                <w:szCs w:val="20"/>
              </w:rPr>
            </w:pPr>
            <w:r>
              <w:rPr>
                <w:rFonts w:hint="eastAsia" w:ascii="宋体" w:hAnsi="宋体" w:eastAsia="宋体"/>
                <w:sz w:val="20"/>
                <w:szCs w:val="20"/>
              </w:rPr>
              <w:t>③货物运输时间安排；</w:t>
            </w:r>
          </w:p>
          <w:p>
            <w:pPr>
              <w:snapToGrid w:val="0"/>
              <w:spacing w:line="240" w:lineRule="atLeast"/>
              <w:rPr>
                <w:rFonts w:ascii="宋体" w:hAnsi="宋体" w:eastAsia="宋体"/>
                <w:sz w:val="20"/>
                <w:szCs w:val="20"/>
              </w:rPr>
            </w:pPr>
            <w:r>
              <w:rPr>
                <w:rFonts w:hint="eastAsia" w:ascii="宋体" w:hAnsi="宋体" w:eastAsia="宋体"/>
                <w:sz w:val="20"/>
                <w:szCs w:val="20"/>
              </w:rPr>
              <w:t>④产品运输保护措施；</w:t>
            </w:r>
          </w:p>
          <w:p>
            <w:pPr>
              <w:snapToGrid w:val="0"/>
              <w:spacing w:line="240" w:lineRule="atLeast"/>
              <w:rPr>
                <w:rFonts w:ascii="宋体" w:hAnsi="宋体" w:eastAsia="宋体"/>
                <w:sz w:val="20"/>
                <w:szCs w:val="20"/>
              </w:rPr>
            </w:pPr>
            <w:r>
              <w:rPr>
                <w:rFonts w:hint="eastAsia" w:ascii="宋体" w:hAnsi="宋体" w:eastAsia="宋体"/>
                <w:sz w:val="20"/>
                <w:szCs w:val="20"/>
              </w:rPr>
              <w:t>⑤安装进度安排；</w:t>
            </w:r>
          </w:p>
          <w:p>
            <w:pPr>
              <w:snapToGrid w:val="0"/>
              <w:spacing w:line="240" w:lineRule="atLeast"/>
              <w:rPr>
                <w:rFonts w:ascii="宋体" w:hAnsi="宋体" w:eastAsia="宋体"/>
                <w:sz w:val="20"/>
                <w:szCs w:val="20"/>
              </w:rPr>
            </w:pPr>
            <w:r>
              <w:rPr>
                <w:rFonts w:hint="eastAsia" w:ascii="宋体" w:hAnsi="宋体" w:eastAsia="宋体"/>
                <w:sz w:val="20"/>
                <w:szCs w:val="20"/>
              </w:rPr>
              <w:t>方案的内容完整的得</w:t>
            </w:r>
            <w:r>
              <w:rPr>
                <w:rFonts w:ascii="宋体" w:hAnsi="宋体" w:eastAsia="宋体"/>
                <w:sz w:val="20"/>
                <w:szCs w:val="20"/>
              </w:rPr>
              <w:t>10分，每有一项未提供或内容缺陷的扣2分。</w:t>
            </w:r>
          </w:p>
          <w:p>
            <w:pPr>
              <w:snapToGrid w:val="0"/>
              <w:spacing w:line="240" w:lineRule="atLeast"/>
              <w:rPr>
                <w:rFonts w:ascii="宋体" w:hAnsi="宋体" w:eastAsia="宋体"/>
                <w:sz w:val="20"/>
                <w:szCs w:val="20"/>
              </w:rPr>
            </w:pPr>
            <w:r>
              <w:rPr>
                <w:rFonts w:hint="eastAsia" w:ascii="宋体" w:hAnsi="宋体" w:eastAsia="宋体"/>
                <w:sz w:val="20"/>
                <w:szCs w:val="20"/>
              </w:rPr>
              <w:t>以上方案中存在内容缺陷视为不满足，内容缺陷指以下情形中的任意一项∶项目名称、服务内容及要求、实施地点、涉及的规范、标准与本项目要求不一致；技术环节不规范；实施操作流程不规范；方案内容与项目内在需求有漏项；时效性差无法及时解决问题。</w:t>
            </w:r>
          </w:p>
        </w:tc>
        <w:tc>
          <w:tcPr>
            <w:tcW w:w="831" w:type="dxa"/>
            <w:vAlign w:val="center"/>
          </w:tcPr>
          <w:p>
            <w:pPr>
              <w:snapToGrid w:val="0"/>
              <w:spacing w:line="240" w:lineRule="atLeast"/>
              <w:jc w:val="center"/>
              <w:rPr>
                <w:rFonts w:ascii="宋体" w:hAnsi="宋体" w:eastAsia="宋体"/>
                <w:sz w:val="20"/>
                <w:szCs w:val="20"/>
              </w:rPr>
            </w:pPr>
            <w:r>
              <w:rPr>
                <w:rFonts w:hint="eastAsia" w:ascii="宋体" w:hAnsi="宋体" w:eastAsia="宋体"/>
                <w:sz w:val="20"/>
                <w:szCs w:val="20"/>
              </w:rPr>
              <w:t>10</w:t>
            </w:r>
            <w:r>
              <w:rPr>
                <w:rFonts w:ascii="宋体" w:hAnsi="宋体" w:eastAsia="宋体"/>
                <w:sz w:val="20"/>
                <w:szCs w:val="20"/>
              </w:rPr>
              <w:t>.00</w:t>
            </w:r>
          </w:p>
        </w:tc>
        <w:tc>
          <w:tcPr>
            <w:tcW w:w="831" w:type="dxa"/>
            <w:vAlign w:val="center"/>
          </w:tcPr>
          <w:p>
            <w:pPr>
              <w:snapToGrid w:val="0"/>
              <w:spacing w:line="240" w:lineRule="atLeast"/>
              <w:rPr>
                <w:rFonts w:ascii="宋体" w:hAnsi="宋体" w:eastAsia="宋体"/>
                <w:sz w:val="20"/>
                <w:szCs w:val="20"/>
              </w:rPr>
            </w:pPr>
            <w:r>
              <w:rPr>
                <w:rFonts w:ascii="宋体" w:hAnsi="宋体" w:eastAsia="宋体"/>
                <w:sz w:val="20"/>
                <w:szCs w:val="20"/>
              </w:rPr>
              <w:t>主观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4" w:type="dxa"/>
        </w:trPr>
        <w:tc>
          <w:tcPr>
            <w:tcW w:w="830" w:type="dxa"/>
            <w:vMerge w:val="continue"/>
            <w:vAlign w:val="center"/>
          </w:tcPr>
          <w:p>
            <w:pPr>
              <w:snapToGrid w:val="0"/>
              <w:spacing w:line="240" w:lineRule="atLeast"/>
              <w:jc w:val="center"/>
              <w:rPr>
                <w:rFonts w:ascii="宋体" w:hAnsi="宋体" w:eastAsia="宋体"/>
                <w:sz w:val="20"/>
                <w:szCs w:val="20"/>
              </w:rPr>
            </w:pPr>
          </w:p>
        </w:tc>
        <w:tc>
          <w:tcPr>
            <w:tcW w:w="741" w:type="dxa"/>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售后服务</w:t>
            </w:r>
          </w:p>
        </w:tc>
        <w:tc>
          <w:tcPr>
            <w:tcW w:w="6226" w:type="dxa"/>
            <w:vAlign w:val="center"/>
          </w:tcPr>
          <w:p>
            <w:pPr>
              <w:snapToGrid w:val="0"/>
              <w:spacing w:line="240" w:lineRule="atLeast"/>
              <w:rPr>
                <w:rFonts w:ascii="宋体" w:hAnsi="宋体" w:eastAsia="宋体"/>
                <w:sz w:val="20"/>
                <w:szCs w:val="20"/>
              </w:rPr>
            </w:pPr>
            <w:r>
              <w:rPr>
                <w:rFonts w:hint="eastAsia" w:ascii="宋体" w:hAnsi="宋体" w:eastAsia="宋体"/>
                <w:sz w:val="20"/>
                <w:szCs w:val="20"/>
              </w:rPr>
              <w:t>1、投标人或产品制造商提供为本项目拟定的售后服务方案，包括但不限于以下内容:①售后人员配置，②备品备件配置，③，巡检计划，④应急措施。完整体现上述方案内容且适用于本项目工作的得8分；有一项未提供扣2分，每有一处内容存在缺陷扣1分，扣完为止。</w:t>
            </w:r>
          </w:p>
          <w:p>
            <w:pPr>
              <w:snapToGrid w:val="0"/>
              <w:spacing w:line="240" w:lineRule="atLeast"/>
              <w:rPr>
                <w:rFonts w:ascii="宋体" w:hAnsi="宋体" w:eastAsia="宋体"/>
                <w:sz w:val="20"/>
                <w:szCs w:val="20"/>
              </w:rPr>
            </w:pPr>
            <w:r>
              <w:rPr>
                <w:rFonts w:hint="eastAsia" w:ascii="宋体" w:hAnsi="宋体" w:eastAsia="宋体"/>
                <w:sz w:val="20"/>
                <w:szCs w:val="20"/>
              </w:rPr>
              <w:t>以上方案中存在内容缺陷视为不满足，内容缺陷指以下情形中的任意一项∶项目名称、服务内容及要求、实施地点、涉及的规范、标准与本项目要求不一致；技术环节不规范；实施操作流程不规范；方案内容与项目内在需求有漏项；时效性差无法及时解决问题。</w:t>
            </w:r>
          </w:p>
          <w:p>
            <w:pPr>
              <w:rPr>
                <w:rFonts w:ascii="宋体" w:hAnsi="宋体" w:eastAsia="宋体"/>
                <w:sz w:val="20"/>
                <w:szCs w:val="20"/>
              </w:rPr>
            </w:pPr>
            <w:r>
              <w:rPr>
                <w:rFonts w:hint="eastAsia" w:ascii="宋体" w:hAnsi="宋体" w:eastAsia="宋体"/>
                <w:sz w:val="20"/>
                <w:szCs w:val="20"/>
              </w:rPr>
              <w:t>2、投标人或产品制造商具有有效期内的十星级或以上的售后服务完善程度认证证书且范围适用于：木质（制）家具、结构性钢木制品、运输保障、售后维保培训等内容，范围全满足的得3分，不满足的得1分。</w:t>
            </w:r>
          </w:p>
          <w:p>
            <w:pPr>
              <w:snapToGrid w:val="0"/>
              <w:spacing w:line="240" w:lineRule="atLeast"/>
              <w:rPr>
                <w:rFonts w:ascii="宋体" w:hAnsi="宋体" w:eastAsia="宋体"/>
                <w:sz w:val="20"/>
                <w:szCs w:val="20"/>
              </w:rPr>
            </w:pPr>
            <w:r>
              <w:rPr>
                <w:rFonts w:hint="eastAsia" w:ascii="宋体" w:hAnsi="宋体" w:eastAsia="宋体"/>
                <w:sz w:val="20"/>
                <w:szCs w:val="20"/>
              </w:rPr>
              <w:t>（投标文件中提供证书复印件及全国认证认可信息公共服务平台（http://cx.cnca.cn）的查询截图并加盖投标人公章方能有效；适用范围可与上述名称不一致，但须经评审小组认定属于上述范畴方能得分。）</w:t>
            </w:r>
          </w:p>
        </w:tc>
        <w:tc>
          <w:tcPr>
            <w:tcW w:w="831" w:type="dxa"/>
            <w:vAlign w:val="center"/>
          </w:tcPr>
          <w:p>
            <w:pPr>
              <w:snapToGrid w:val="0"/>
              <w:spacing w:line="240" w:lineRule="atLeast"/>
              <w:jc w:val="center"/>
              <w:rPr>
                <w:rFonts w:ascii="宋体" w:hAnsi="宋体" w:eastAsia="宋体"/>
                <w:sz w:val="20"/>
                <w:szCs w:val="20"/>
              </w:rPr>
            </w:pPr>
            <w:r>
              <w:rPr>
                <w:rFonts w:hint="eastAsia" w:ascii="宋体" w:hAnsi="宋体" w:eastAsia="宋体"/>
                <w:sz w:val="20"/>
                <w:szCs w:val="20"/>
              </w:rPr>
              <w:t>11</w:t>
            </w:r>
            <w:r>
              <w:rPr>
                <w:rFonts w:ascii="宋体" w:hAnsi="宋体" w:eastAsia="宋体"/>
                <w:sz w:val="20"/>
                <w:szCs w:val="20"/>
              </w:rPr>
              <w:t>.00</w:t>
            </w:r>
          </w:p>
        </w:tc>
        <w:tc>
          <w:tcPr>
            <w:tcW w:w="831" w:type="dxa"/>
            <w:vAlign w:val="center"/>
          </w:tcPr>
          <w:p>
            <w:pPr>
              <w:snapToGrid w:val="0"/>
              <w:spacing w:line="240" w:lineRule="atLeast"/>
              <w:rPr>
                <w:rFonts w:ascii="宋体" w:hAnsi="宋体" w:eastAsia="宋体"/>
                <w:sz w:val="20"/>
                <w:szCs w:val="20"/>
              </w:rPr>
            </w:pPr>
            <w:r>
              <w:rPr>
                <w:rFonts w:ascii="宋体" w:hAnsi="宋体" w:eastAsia="宋体"/>
                <w:sz w:val="20"/>
                <w:szCs w:val="20"/>
              </w:rPr>
              <w:t>主观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4" w:type="dxa"/>
        </w:trPr>
        <w:tc>
          <w:tcPr>
            <w:tcW w:w="830" w:type="dxa"/>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价格分</w:t>
            </w:r>
          </w:p>
        </w:tc>
        <w:tc>
          <w:tcPr>
            <w:tcW w:w="741" w:type="dxa"/>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价格分</w:t>
            </w:r>
          </w:p>
        </w:tc>
        <w:tc>
          <w:tcPr>
            <w:tcW w:w="6226" w:type="dxa"/>
            <w:vAlign w:val="center"/>
          </w:tcPr>
          <w:p>
            <w:pPr>
              <w:snapToGrid w:val="0"/>
              <w:spacing w:line="240" w:lineRule="atLeast"/>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w:t>
            </w:r>
            <w:r>
              <w:rPr>
                <w:rFonts w:ascii="宋体" w:hAnsi="宋体" w:eastAsia="宋体"/>
                <w:sz w:val="20"/>
                <w:szCs w:val="20"/>
              </w:rPr>
              <w:t>满足招标文件要求且投标价格最低的投标报价为评标基准价，其投标人的报价分为满分。其他投标人的报价分按以下公式计算：报价得分=(评标基准价／投标报价) ×分值。</w:t>
            </w:r>
          </w:p>
        </w:tc>
        <w:tc>
          <w:tcPr>
            <w:tcW w:w="831" w:type="dxa"/>
            <w:vAlign w:val="center"/>
          </w:tcPr>
          <w:p>
            <w:pPr>
              <w:snapToGrid w:val="0"/>
              <w:spacing w:line="240" w:lineRule="atLeast"/>
              <w:jc w:val="center"/>
              <w:rPr>
                <w:rFonts w:ascii="宋体" w:hAnsi="宋体" w:eastAsia="宋体"/>
                <w:sz w:val="20"/>
                <w:szCs w:val="20"/>
              </w:rPr>
            </w:pPr>
            <w:r>
              <w:rPr>
                <w:rFonts w:ascii="宋体" w:hAnsi="宋体" w:eastAsia="宋体"/>
                <w:sz w:val="20"/>
                <w:szCs w:val="20"/>
              </w:rPr>
              <w:t>30.00</w:t>
            </w:r>
          </w:p>
        </w:tc>
        <w:tc>
          <w:tcPr>
            <w:tcW w:w="831" w:type="dxa"/>
            <w:vAlign w:val="center"/>
          </w:tcPr>
          <w:p>
            <w:pPr>
              <w:snapToGrid w:val="0"/>
              <w:spacing w:line="240" w:lineRule="atLeast"/>
              <w:rPr>
                <w:rFonts w:ascii="宋体" w:hAnsi="宋体" w:eastAsia="宋体"/>
                <w:sz w:val="20"/>
                <w:szCs w:val="20"/>
              </w:rPr>
            </w:pPr>
            <w:r>
              <w:rPr>
                <w:rFonts w:ascii="宋体" w:hAnsi="宋体" w:eastAsia="宋体"/>
                <w:sz w:val="20"/>
                <w:szCs w:val="20"/>
              </w:rPr>
              <w:t>客观</w:t>
            </w:r>
          </w:p>
        </w:tc>
      </w:tr>
    </w:tbl>
    <w:p>
      <w:pPr>
        <w:pStyle w:val="2"/>
        <w:numPr>
          <w:ilvl w:val="0"/>
          <w:numId w:val="0"/>
        </w:numPr>
        <w:rPr>
          <w:rFonts w:ascii="宋体" w:hAnsi="宋体" w:eastAsia="宋体"/>
          <w:sz w:val="20"/>
          <w:szCs w:val="20"/>
        </w:rPr>
      </w:pPr>
      <w:bookmarkStart w:id="0" w:name="_GoBack"/>
      <w:bookmarkEnd w:id="0"/>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yNjM1YTY1MTRlZjk0MDFmZmQxZThkMDJiNDI4ZTUifQ=="/>
    <w:docVar w:name="KSO_WPS_MARK_KEY" w:val="dc09b0e2-307f-40b6-b8d0-f6ccf0974178"/>
  </w:docVars>
  <w:rsids>
    <w:rsidRoot w:val="00392EFE"/>
    <w:rsid w:val="00022729"/>
    <w:rsid w:val="000B4724"/>
    <w:rsid w:val="000C405F"/>
    <w:rsid w:val="000D6A14"/>
    <w:rsid w:val="001204A0"/>
    <w:rsid w:val="00145572"/>
    <w:rsid w:val="00156136"/>
    <w:rsid w:val="00163F9A"/>
    <w:rsid w:val="00177435"/>
    <w:rsid w:val="00183120"/>
    <w:rsid w:val="001A3F71"/>
    <w:rsid w:val="001B5D49"/>
    <w:rsid w:val="00200421"/>
    <w:rsid w:val="00203B3E"/>
    <w:rsid w:val="002163C0"/>
    <w:rsid w:val="00286A15"/>
    <w:rsid w:val="002B7959"/>
    <w:rsid w:val="00313006"/>
    <w:rsid w:val="0034474E"/>
    <w:rsid w:val="00381329"/>
    <w:rsid w:val="00392EFE"/>
    <w:rsid w:val="003E562A"/>
    <w:rsid w:val="00461342"/>
    <w:rsid w:val="004914E2"/>
    <w:rsid w:val="004A3ACA"/>
    <w:rsid w:val="004A5A83"/>
    <w:rsid w:val="004A6E88"/>
    <w:rsid w:val="004B3E98"/>
    <w:rsid w:val="005203BF"/>
    <w:rsid w:val="005539A0"/>
    <w:rsid w:val="00554AA2"/>
    <w:rsid w:val="005A4039"/>
    <w:rsid w:val="005B4311"/>
    <w:rsid w:val="006866FE"/>
    <w:rsid w:val="0069467B"/>
    <w:rsid w:val="00695494"/>
    <w:rsid w:val="006A6FAD"/>
    <w:rsid w:val="006F2B54"/>
    <w:rsid w:val="00727776"/>
    <w:rsid w:val="0073326C"/>
    <w:rsid w:val="007A1821"/>
    <w:rsid w:val="00881AB8"/>
    <w:rsid w:val="00891C16"/>
    <w:rsid w:val="008F37F7"/>
    <w:rsid w:val="008F3BB3"/>
    <w:rsid w:val="008F5212"/>
    <w:rsid w:val="00904F4E"/>
    <w:rsid w:val="00906158"/>
    <w:rsid w:val="00967060"/>
    <w:rsid w:val="009A223C"/>
    <w:rsid w:val="009B3DAF"/>
    <w:rsid w:val="00A12BE1"/>
    <w:rsid w:val="00A221C8"/>
    <w:rsid w:val="00A7786E"/>
    <w:rsid w:val="00AB561F"/>
    <w:rsid w:val="00AE7386"/>
    <w:rsid w:val="00B16A66"/>
    <w:rsid w:val="00B3732F"/>
    <w:rsid w:val="00B5249A"/>
    <w:rsid w:val="00B6565B"/>
    <w:rsid w:val="00BA3965"/>
    <w:rsid w:val="00BA7268"/>
    <w:rsid w:val="00BB7705"/>
    <w:rsid w:val="00C103A5"/>
    <w:rsid w:val="00C47A2C"/>
    <w:rsid w:val="00C72C53"/>
    <w:rsid w:val="00C9433B"/>
    <w:rsid w:val="00CD5F84"/>
    <w:rsid w:val="00CE3920"/>
    <w:rsid w:val="00D72A1E"/>
    <w:rsid w:val="00DB1E07"/>
    <w:rsid w:val="00E150B1"/>
    <w:rsid w:val="00E4545F"/>
    <w:rsid w:val="00E475F3"/>
    <w:rsid w:val="00E644D6"/>
    <w:rsid w:val="00E76FAB"/>
    <w:rsid w:val="00E82A73"/>
    <w:rsid w:val="00E84293"/>
    <w:rsid w:val="00ED0D84"/>
    <w:rsid w:val="00EE3C38"/>
    <w:rsid w:val="00EF2470"/>
    <w:rsid w:val="00F27389"/>
    <w:rsid w:val="00F77006"/>
    <w:rsid w:val="00F960FF"/>
    <w:rsid w:val="00FC4360"/>
    <w:rsid w:val="00FF5B2C"/>
    <w:rsid w:val="0EEE541E"/>
    <w:rsid w:val="1CAA23FB"/>
    <w:rsid w:val="1DB503B7"/>
    <w:rsid w:val="2D107AFE"/>
    <w:rsid w:val="41EC6193"/>
    <w:rsid w:val="446A5097"/>
    <w:rsid w:val="5EB27C1C"/>
    <w:rsid w:val="6A440E91"/>
    <w:rsid w:val="6C316C06"/>
    <w:rsid w:val="76D60F2D"/>
    <w:rsid w:val="7A9E4AB8"/>
    <w:rsid w:val="7F00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4">
    <w:name w:val="Body Text"/>
    <w:basedOn w:val="1"/>
    <w:next w:val="1"/>
    <w:link w:val="13"/>
    <w:unhideWhenUsed/>
    <w:qFormat/>
    <w:uiPriority w:val="99"/>
    <w:pPr>
      <w:tabs>
        <w:tab w:val="left" w:pos="0"/>
      </w:tabs>
      <w:spacing w:after="120"/>
    </w:pPr>
    <w:rPr>
      <w:rFonts w:ascii="Times New Roman" w:hAnsi="Times New Roman" w:eastAsia="宋体" w:cs="Times New Roman"/>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Autospacing="1" w:afterAutospacing="1"/>
      <w:jc w:val="left"/>
    </w:pPr>
    <w:rPr>
      <w:rFonts w:cs="Times New Roman"/>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autoRedefine/>
    <w:hidden/>
    <w:qFormat/>
    <w:uiPriority w:val="0"/>
    <w:rPr>
      <w:rFonts w:hint="eastAsia" w:asciiTheme="minorHAnsi" w:hAnsiTheme="minorHAnsi" w:eastAsiaTheme="minorEastAsia" w:cstheme="minorBidi"/>
      <w:lang w:val="en-US" w:eastAsia="zh-Hans" w:bidi="ar-SA"/>
    </w:rPr>
  </w:style>
  <w:style w:type="paragraph" w:styleId="12">
    <w:name w:val="List Paragraph"/>
    <w:basedOn w:val="1"/>
    <w:autoRedefine/>
    <w:qFormat/>
    <w:uiPriority w:val="34"/>
    <w:pPr>
      <w:ind w:firstLine="420" w:firstLineChars="200"/>
    </w:pPr>
  </w:style>
  <w:style w:type="character" w:customStyle="1" w:styleId="13">
    <w:name w:val="正文文本 字符"/>
    <w:basedOn w:val="10"/>
    <w:link w:val="4"/>
    <w:autoRedefine/>
    <w:qFormat/>
    <w:uiPriority w:val="99"/>
    <w:rPr>
      <w:rFonts w:ascii="Times New Roman" w:hAnsi="Times New Roman" w:eastAsia="宋体" w:cs="Times New Roman"/>
      <w:szCs w:val="24"/>
    </w:rPr>
  </w:style>
  <w:style w:type="character" w:customStyle="1" w:styleId="14">
    <w:name w:val="页眉 字符"/>
    <w:basedOn w:val="10"/>
    <w:link w:val="6"/>
    <w:autoRedefine/>
    <w:qFormat/>
    <w:uiPriority w:val="99"/>
    <w:rPr>
      <w:sz w:val="18"/>
      <w:szCs w:val="18"/>
    </w:rPr>
  </w:style>
  <w:style w:type="character" w:customStyle="1" w:styleId="15">
    <w:name w:val="页脚 字符"/>
    <w:basedOn w:val="10"/>
    <w:link w:val="5"/>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8533</Words>
  <Characters>9967</Characters>
  <Lines>72</Lines>
  <Paragraphs>20</Paragraphs>
  <TotalTime>242</TotalTime>
  <ScaleCrop>false</ScaleCrop>
  <LinksUpToDate>false</LinksUpToDate>
  <CharactersWithSpaces>9990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2024-03-04T08:11:00Z</dcterms:created>
  <dc:creator>不吃葱花</dc:creator>
  <cp:lastModifiedBy>曹小英</cp:lastModifiedBy>
  <dcterms:modified xsi:type="dcterms:W3CDTF">2024-05-11T01:49:47Z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7B925BF94D8B46728C0CA963BEAC62E5</vt:lpwstr>
  </property>
</Properties>
</file>